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C6" w:rsidRPr="009D6B97" w:rsidRDefault="009D6B97" w:rsidP="009D6B97">
      <w:pPr>
        <w:ind w:hanging="709"/>
        <w:rPr>
          <w:rFonts w:asciiTheme="minorHAnsi" w:hAnsiTheme="minorHAnsi" w:cstheme="minorHAnsi"/>
          <w:sz w:val="28"/>
          <w:szCs w:val="28"/>
        </w:rPr>
      </w:pPr>
      <w:r w:rsidRPr="009D6B97">
        <w:rPr>
          <w:rFonts w:asciiTheme="minorHAnsi" w:hAnsiTheme="minorHAnsi" w:cstheme="minorHAnsi"/>
          <w:sz w:val="28"/>
          <w:szCs w:val="28"/>
        </w:rPr>
        <w:t>Finance &amp; Performance Scrutiny P</w:t>
      </w:r>
      <w:r w:rsidR="00176585">
        <w:rPr>
          <w:rFonts w:asciiTheme="minorHAnsi" w:hAnsiTheme="minorHAnsi" w:cstheme="minorHAnsi"/>
          <w:sz w:val="28"/>
          <w:szCs w:val="28"/>
        </w:rPr>
        <w:t xml:space="preserve">anel – KPI Performance report </w:t>
      </w:r>
      <w:r w:rsidR="00981E01">
        <w:rPr>
          <w:rFonts w:asciiTheme="minorHAnsi" w:hAnsiTheme="minorHAnsi" w:cstheme="minorHAnsi"/>
          <w:sz w:val="28"/>
          <w:szCs w:val="28"/>
        </w:rPr>
        <w:t>June 20</w:t>
      </w:r>
      <w:r w:rsidRPr="009D6B97">
        <w:rPr>
          <w:rFonts w:asciiTheme="minorHAnsi" w:hAnsiTheme="minorHAnsi" w:cstheme="minorHAnsi"/>
          <w:sz w:val="28"/>
          <w:szCs w:val="28"/>
        </w:rPr>
        <w:t>23</w:t>
      </w:r>
    </w:p>
    <w:p w:rsidR="009D6B97" w:rsidRDefault="009D6B97" w:rsidP="008A22C6"/>
    <w:tbl>
      <w:tblPr>
        <w:tblW w:w="15836" w:type="dxa"/>
        <w:tblInd w:w="-601" w:type="dxa"/>
        <w:tblLook w:val="04A0" w:firstRow="1" w:lastRow="0" w:firstColumn="1" w:lastColumn="0" w:noHBand="0" w:noVBand="1"/>
      </w:tblPr>
      <w:tblGrid>
        <w:gridCol w:w="1276"/>
        <w:gridCol w:w="3119"/>
        <w:gridCol w:w="1276"/>
        <w:gridCol w:w="1218"/>
        <w:gridCol w:w="1218"/>
        <w:gridCol w:w="1350"/>
        <w:gridCol w:w="6379"/>
      </w:tblGrid>
      <w:tr w:rsidR="004E07FE" w:rsidRPr="009D6B97" w:rsidTr="00CE6277">
        <w:trPr>
          <w:trHeight w:val="590"/>
          <w:tblHeader/>
        </w:trPr>
        <w:tc>
          <w:tcPr>
            <w:tcW w:w="1276" w:type="dxa"/>
            <w:tcBorders>
              <w:top w:val="single" w:sz="8" w:space="0" w:color="auto"/>
              <w:left w:val="single" w:sz="8" w:space="0" w:color="auto"/>
              <w:bottom w:val="single" w:sz="8" w:space="0" w:color="auto"/>
              <w:right w:val="nil"/>
            </w:tcBorders>
            <w:shd w:val="clear" w:color="auto" w:fill="00B0F0"/>
            <w:noWrap/>
            <w:vAlign w:val="bottom"/>
            <w:hideMark/>
          </w:tcPr>
          <w:p w:rsidR="004E07FE" w:rsidRPr="009D6B97" w:rsidRDefault="004E07FE" w:rsidP="004E07FE">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Measure</w:t>
            </w:r>
          </w:p>
        </w:tc>
        <w:tc>
          <w:tcPr>
            <w:tcW w:w="3119" w:type="dxa"/>
            <w:tcBorders>
              <w:top w:val="single" w:sz="8" w:space="0" w:color="auto"/>
              <w:left w:val="single" w:sz="8" w:space="0" w:color="auto"/>
              <w:bottom w:val="single" w:sz="8" w:space="0" w:color="auto"/>
              <w:right w:val="single" w:sz="8" w:space="0" w:color="auto"/>
            </w:tcBorders>
            <w:shd w:val="clear" w:color="auto" w:fill="00B0F0"/>
            <w:noWrap/>
            <w:vAlign w:val="bottom"/>
            <w:hideMark/>
          </w:tcPr>
          <w:p w:rsidR="004E07FE" w:rsidRPr="009D6B97" w:rsidRDefault="004E07FE" w:rsidP="004E07FE">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Name</w:t>
            </w:r>
          </w:p>
        </w:tc>
        <w:tc>
          <w:tcPr>
            <w:tcW w:w="1276" w:type="dxa"/>
            <w:tcBorders>
              <w:top w:val="single" w:sz="8" w:space="0" w:color="auto"/>
              <w:left w:val="nil"/>
              <w:bottom w:val="single" w:sz="8" w:space="0" w:color="auto"/>
              <w:right w:val="nil"/>
            </w:tcBorders>
            <w:shd w:val="clear" w:color="auto" w:fill="00B0F0"/>
            <w:noWrap/>
            <w:vAlign w:val="bottom"/>
            <w:hideMark/>
          </w:tcPr>
          <w:p w:rsidR="004E07FE" w:rsidRPr="009D6B97" w:rsidRDefault="004E07FE" w:rsidP="004E07FE">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Owner</w:t>
            </w:r>
          </w:p>
        </w:tc>
        <w:tc>
          <w:tcPr>
            <w:tcW w:w="1218" w:type="dxa"/>
            <w:tcBorders>
              <w:top w:val="single" w:sz="8" w:space="0" w:color="auto"/>
              <w:left w:val="single" w:sz="8" w:space="0" w:color="auto"/>
              <w:bottom w:val="single" w:sz="8" w:space="0" w:color="auto"/>
              <w:right w:val="single" w:sz="8" w:space="0" w:color="auto"/>
            </w:tcBorders>
            <w:shd w:val="clear" w:color="auto" w:fill="00B0F0"/>
            <w:vAlign w:val="bottom"/>
            <w:hideMark/>
          </w:tcPr>
          <w:p w:rsidR="004E07FE" w:rsidRDefault="004E07FE" w:rsidP="004E07FE">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20</w:t>
            </w:r>
            <w:r w:rsidR="00981E01">
              <w:rPr>
                <w:rFonts w:ascii="Calibri" w:eastAsia="Times New Roman" w:hAnsi="Calibri" w:cs="Calibri"/>
                <w:b/>
                <w:bCs/>
                <w:sz w:val="22"/>
                <w:szCs w:val="22"/>
                <w:lang w:eastAsia="en-GB"/>
              </w:rPr>
              <w:t>23/24</w:t>
            </w:r>
          </w:p>
          <w:p w:rsidR="00981E01" w:rsidRPr="009D6B97" w:rsidRDefault="00981E01" w:rsidP="004E07FE">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Target</w:t>
            </w:r>
          </w:p>
        </w:tc>
        <w:tc>
          <w:tcPr>
            <w:tcW w:w="1218" w:type="dxa"/>
            <w:tcBorders>
              <w:top w:val="single" w:sz="8" w:space="0" w:color="auto"/>
              <w:left w:val="nil"/>
              <w:bottom w:val="single" w:sz="8" w:space="0" w:color="auto"/>
              <w:right w:val="nil"/>
            </w:tcBorders>
            <w:shd w:val="clear" w:color="auto" w:fill="00B0F0"/>
            <w:vAlign w:val="bottom"/>
            <w:hideMark/>
          </w:tcPr>
          <w:p w:rsidR="004E07FE" w:rsidRPr="009D6B97" w:rsidRDefault="00981E01" w:rsidP="004E07FE">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 xml:space="preserve">June 23 </w:t>
            </w:r>
            <w:r w:rsidR="004E07FE" w:rsidRPr="009D6B97">
              <w:rPr>
                <w:rFonts w:ascii="Calibri" w:eastAsia="Times New Roman" w:hAnsi="Calibri" w:cs="Calibri"/>
                <w:b/>
                <w:bCs/>
                <w:sz w:val="22"/>
                <w:szCs w:val="22"/>
                <w:lang w:eastAsia="en-GB"/>
              </w:rPr>
              <w:t>Target</w:t>
            </w:r>
          </w:p>
        </w:tc>
        <w:tc>
          <w:tcPr>
            <w:tcW w:w="1350" w:type="dxa"/>
            <w:tcBorders>
              <w:top w:val="single" w:sz="8" w:space="0" w:color="auto"/>
              <w:left w:val="single" w:sz="8" w:space="0" w:color="auto"/>
              <w:bottom w:val="single" w:sz="8" w:space="0" w:color="auto"/>
              <w:right w:val="single" w:sz="8" w:space="0" w:color="auto"/>
            </w:tcBorders>
            <w:shd w:val="clear" w:color="auto" w:fill="00B0F0"/>
            <w:vAlign w:val="bottom"/>
            <w:hideMark/>
          </w:tcPr>
          <w:p w:rsidR="004E07FE" w:rsidRPr="009D6B97" w:rsidRDefault="00981E01" w:rsidP="004E07FE">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June</w:t>
            </w:r>
            <w:r w:rsidR="004E07FE">
              <w:rPr>
                <w:rFonts w:ascii="Calibri" w:eastAsia="Times New Roman" w:hAnsi="Calibri" w:cs="Calibri"/>
                <w:b/>
                <w:bCs/>
                <w:sz w:val="22"/>
                <w:szCs w:val="22"/>
                <w:lang w:eastAsia="en-GB"/>
              </w:rPr>
              <w:t xml:space="preserve"> 23 </w:t>
            </w:r>
            <w:r w:rsidR="004E07FE" w:rsidRPr="009D6B97">
              <w:rPr>
                <w:rFonts w:ascii="Calibri" w:eastAsia="Times New Roman" w:hAnsi="Calibri" w:cs="Calibri"/>
                <w:b/>
                <w:bCs/>
                <w:sz w:val="22"/>
                <w:szCs w:val="22"/>
                <w:lang w:eastAsia="en-GB"/>
              </w:rPr>
              <w:t>Actual</w:t>
            </w:r>
          </w:p>
        </w:tc>
        <w:tc>
          <w:tcPr>
            <w:tcW w:w="6379" w:type="dxa"/>
            <w:tcBorders>
              <w:top w:val="single" w:sz="8" w:space="0" w:color="auto"/>
              <w:left w:val="nil"/>
              <w:bottom w:val="single" w:sz="8" w:space="0" w:color="auto"/>
              <w:right w:val="single" w:sz="8" w:space="0" w:color="auto"/>
            </w:tcBorders>
            <w:shd w:val="clear" w:color="auto" w:fill="00B0F0"/>
            <w:noWrap/>
            <w:vAlign w:val="bottom"/>
            <w:hideMark/>
          </w:tcPr>
          <w:p w:rsidR="004E07FE" w:rsidRPr="009D6B97" w:rsidRDefault="004E07FE" w:rsidP="004E07FE">
            <w:pPr>
              <w:rPr>
                <w:rFonts w:ascii="Calibri" w:eastAsia="Times New Roman" w:hAnsi="Calibri" w:cs="Calibri"/>
                <w:b/>
                <w:bCs/>
                <w:sz w:val="22"/>
                <w:szCs w:val="22"/>
                <w:lang w:eastAsia="en-GB"/>
              </w:rPr>
            </w:pPr>
            <w:r w:rsidRPr="009D6B97">
              <w:rPr>
                <w:rFonts w:ascii="Calibri" w:eastAsia="Times New Roman" w:hAnsi="Calibri" w:cs="Calibri"/>
                <w:b/>
                <w:bCs/>
                <w:sz w:val="22"/>
                <w:szCs w:val="22"/>
                <w:lang w:eastAsia="en-GB"/>
              </w:rPr>
              <w:t>Comments</w:t>
            </w:r>
          </w:p>
        </w:tc>
      </w:tr>
      <w:tr w:rsidR="004E07FE" w:rsidRPr="009D6B97" w:rsidTr="003B12E7">
        <w:trPr>
          <w:trHeight w:val="580"/>
        </w:trPr>
        <w:tc>
          <w:tcPr>
            <w:tcW w:w="1276" w:type="dxa"/>
            <w:tcBorders>
              <w:top w:val="nil"/>
              <w:left w:val="single" w:sz="8" w:space="0" w:color="auto"/>
              <w:bottom w:val="single" w:sz="4" w:space="0" w:color="auto"/>
              <w:right w:val="nil"/>
            </w:tcBorders>
            <w:shd w:val="clear" w:color="auto" w:fill="auto"/>
            <w:noWrap/>
            <w:hideMark/>
          </w:tcPr>
          <w:p w:rsidR="004E07FE" w:rsidRPr="00B34F03" w:rsidRDefault="004E07FE" w:rsidP="004E07FE">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BI038</w:t>
            </w:r>
          </w:p>
        </w:tc>
        <w:tc>
          <w:tcPr>
            <w:tcW w:w="3119" w:type="dxa"/>
            <w:tcBorders>
              <w:top w:val="nil"/>
              <w:left w:val="single" w:sz="8" w:space="0" w:color="auto"/>
              <w:bottom w:val="single" w:sz="4" w:space="0" w:color="auto"/>
              <w:right w:val="single" w:sz="8" w:space="0" w:color="auto"/>
            </w:tcBorders>
            <w:shd w:val="clear" w:color="auto" w:fill="auto"/>
            <w:hideMark/>
          </w:tcPr>
          <w:p w:rsidR="004E07FE" w:rsidRPr="00B34F03" w:rsidRDefault="004E07FE" w:rsidP="004E07FE">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Percentage of staff turnover for the whole organisation</w:t>
            </w:r>
          </w:p>
        </w:tc>
        <w:tc>
          <w:tcPr>
            <w:tcW w:w="1276" w:type="dxa"/>
            <w:tcBorders>
              <w:top w:val="nil"/>
              <w:left w:val="nil"/>
              <w:bottom w:val="single" w:sz="4" w:space="0" w:color="auto"/>
              <w:right w:val="nil"/>
            </w:tcBorders>
            <w:shd w:val="clear" w:color="auto" w:fill="auto"/>
            <w:hideMark/>
          </w:tcPr>
          <w:p w:rsidR="004E07FE" w:rsidRPr="00B34F03" w:rsidRDefault="004E07FE" w:rsidP="004E07FE">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Helen Bishop</w:t>
            </w:r>
          </w:p>
        </w:tc>
        <w:tc>
          <w:tcPr>
            <w:tcW w:w="1218" w:type="dxa"/>
            <w:tcBorders>
              <w:top w:val="nil"/>
              <w:left w:val="single" w:sz="8" w:space="0" w:color="auto"/>
              <w:bottom w:val="single" w:sz="4" w:space="0" w:color="auto"/>
              <w:right w:val="single" w:sz="8" w:space="0" w:color="auto"/>
            </w:tcBorders>
            <w:shd w:val="clear" w:color="auto" w:fill="BFBFBF" w:themeFill="background1" w:themeFillShade="BF"/>
            <w:hideMark/>
          </w:tcPr>
          <w:p w:rsidR="004E07FE" w:rsidRPr="00B34F03" w:rsidRDefault="004E07FE" w:rsidP="004E07FE">
            <w:pPr>
              <w:jc w:val="center"/>
              <w:rPr>
                <w:rFonts w:ascii="Calibri" w:eastAsia="Times New Roman" w:hAnsi="Calibri" w:cs="Calibri"/>
                <w:sz w:val="22"/>
                <w:szCs w:val="22"/>
                <w:lang w:eastAsia="en-GB"/>
              </w:rPr>
            </w:pPr>
          </w:p>
        </w:tc>
        <w:tc>
          <w:tcPr>
            <w:tcW w:w="1218" w:type="dxa"/>
            <w:tcBorders>
              <w:top w:val="nil"/>
              <w:left w:val="nil"/>
              <w:bottom w:val="single" w:sz="4" w:space="0" w:color="auto"/>
              <w:right w:val="nil"/>
            </w:tcBorders>
            <w:shd w:val="clear" w:color="auto" w:fill="BFBFBF" w:themeFill="background1" w:themeFillShade="BF"/>
            <w:hideMark/>
          </w:tcPr>
          <w:p w:rsidR="004E07FE" w:rsidRPr="00B34F03" w:rsidRDefault="004E07FE" w:rsidP="004E07FE">
            <w:pPr>
              <w:jc w:val="cente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 </w:t>
            </w:r>
          </w:p>
        </w:tc>
        <w:tc>
          <w:tcPr>
            <w:tcW w:w="1350" w:type="dxa"/>
            <w:tcBorders>
              <w:top w:val="nil"/>
              <w:left w:val="single" w:sz="8" w:space="0" w:color="auto"/>
              <w:bottom w:val="single" w:sz="4" w:space="0" w:color="auto"/>
              <w:right w:val="single" w:sz="8" w:space="0" w:color="auto"/>
            </w:tcBorders>
            <w:shd w:val="clear" w:color="auto" w:fill="auto"/>
            <w:hideMark/>
          </w:tcPr>
          <w:p w:rsidR="004E07FE" w:rsidRPr="009D6B97" w:rsidRDefault="00CA26D2" w:rsidP="004E07FE">
            <w:pPr>
              <w:jc w:val="cente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8.72%</w:t>
            </w:r>
          </w:p>
        </w:tc>
        <w:tc>
          <w:tcPr>
            <w:tcW w:w="6379" w:type="dxa"/>
            <w:tcBorders>
              <w:top w:val="nil"/>
              <w:left w:val="nil"/>
              <w:bottom w:val="single" w:sz="4" w:space="0" w:color="auto"/>
              <w:right w:val="single" w:sz="8" w:space="0" w:color="auto"/>
            </w:tcBorders>
            <w:shd w:val="clear" w:color="auto" w:fill="auto"/>
            <w:hideMark/>
          </w:tcPr>
          <w:p w:rsidR="004E07FE" w:rsidRPr="009D6B97" w:rsidRDefault="004E07FE" w:rsidP="004E07FE">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4E1E46">
        <w:trPr>
          <w:trHeight w:val="290"/>
        </w:trPr>
        <w:tc>
          <w:tcPr>
            <w:tcW w:w="1276" w:type="dxa"/>
            <w:tcBorders>
              <w:top w:val="nil"/>
              <w:left w:val="single" w:sz="8" w:space="0" w:color="auto"/>
              <w:bottom w:val="single" w:sz="4" w:space="0" w:color="auto"/>
              <w:right w:val="nil"/>
            </w:tcBorders>
            <w:shd w:val="clear" w:color="auto" w:fill="auto"/>
            <w:noWrap/>
            <w:hideMark/>
          </w:tcPr>
          <w:p w:rsidR="009D6B97" w:rsidRPr="004E1E46" w:rsidRDefault="009D6B97" w:rsidP="009D6B97">
            <w:pPr>
              <w:rPr>
                <w:rFonts w:ascii="Calibri" w:eastAsia="Times New Roman" w:hAnsi="Calibri" w:cs="Calibri"/>
                <w:sz w:val="22"/>
                <w:szCs w:val="22"/>
                <w:lang w:eastAsia="en-GB"/>
              </w:rPr>
            </w:pPr>
            <w:r w:rsidRPr="004E1E46">
              <w:rPr>
                <w:rFonts w:ascii="Calibri" w:eastAsia="Times New Roman" w:hAnsi="Calibri" w:cs="Calibri"/>
                <w:sz w:val="22"/>
                <w:szCs w:val="22"/>
                <w:lang w:eastAsia="en-GB"/>
              </w:rPr>
              <w:t>CH001</w:t>
            </w:r>
          </w:p>
          <w:p w:rsidR="009D6B97" w:rsidRPr="004E1E46" w:rsidRDefault="009D6B97" w:rsidP="009D6B97">
            <w:pPr>
              <w:rPr>
                <w:rFonts w:ascii="Calibri" w:eastAsia="Times New Roman" w:hAnsi="Calibri" w:cs="Calibri"/>
                <w:sz w:val="22"/>
                <w:szCs w:val="22"/>
                <w:lang w:eastAsia="en-GB"/>
              </w:rPr>
            </w:pP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4E1E46" w:rsidRDefault="009D6B97" w:rsidP="009D6B97">
            <w:pPr>
              <w:rPr>
                <w:rFonts w:ascii="Calibri" w:eastAsia="Times New Roman" w:hAnsi="Calibri" w:cs="Calibri"/>
                <w:sz w:val="22"/>
                <w:szCs w:val="22"/>
                <w:lang w:eastAsia="en-GB"/>
              </w:rPr>
            </w:pPr>
            <w:r w:rsidRPr="004E1E46">
              <w:rPr>
                <w:rFonts w:ascii="Calibri" w:eastAsia="Times New Roman" w:hAnsi="Calibri" w:cs="Calibri"/>
                <w:sz w:val="22"/>
                <w:szCs w:val="22"/>
                <w:lang w:eastAsia="en-GB"/>
              </w:rPr>
              <w:t>Days lost to sickness</w:t>
            </w:r>
          </w:p>
        </w:tc>
        <w:tc>
          <w:tcPr>
            <w:tcW w:w="1276" w:type="dxa"/>
            <w:tcBorders>
              <w:top w:val="nil"/>
              <w:left w:val="nil"/>
              <w:bottom w:val="single" w:sz="4" w:space="0" w:color="auto"/>
              <w:right w:val="nil"/>
            </w:tcBorders>
            <w:shd w:val="clear" w:color="auto" w:fill="auto"/>
            <w:hideMark/>
          </w:tcPr>
          <w:p w:rsidR="009D6B97" w:rsidRPr="004E1E46" w:rsidRDefault="009D6B97" w:rsidP="009D6B97">
            <w:pPr>
              <w:rPr>
                <w:rFonts w:ascii="Calibri" w:eastAsia="Times New Roman" w:hAnsi="Calibri" w:cs="Calibri"/>
                <w:sz w:val="22"/>
                <w:szCs w:val="22"/>
                <w:lang w:eastAsia="en-GB"/>
              </w:rPr>
            </w:pPr>
            <w:r w:rsidRPr="004E1E46">
              <w:rPr>
                <w:rFonts w:ascii="Calibri" w:eastAsia="Times New Roman" w:hAnsi="Calibri" w:cs="Calibri"/>
                <w:sz w:val="22"/>
                <w:szCs w:val="22"/>
                <w:lang w:eastAsia="en-GB"/>
              </w:rPr>
              <w:t>Gail Malkin</w:t>
            </w:r>
          </w:p>
        </w:tc>
        <w:tc>
          <w:tcPr>
            <w:tcW w:w="1218" w:type="dxa"/>
            <w:tcBorders>
              <w:top w:val="nil"/>
              <w:left w:val="single" w:sz="8" w:space="0" w:color="auto"/>
              <w:bottom w:val="single" w:sz="4" w:space="0" w:color="auto"/>
              <w:right w:val="single" w:sz="8" w:space="0" w:color="auto"/>
            </w:tcBorders>
            <w:shd w:val="clear" w:color="auto" w:fill="auto"/>
            <w:hideMark/>
          </w:tcPr>
          <w:p w:rsidR="00CD3554" w:rsidRPr="004E1E46" w:rsidRDefault="00DD0D0B" w:rsidP="00981E01">
            <w:pPr>
              <w:spacing w:line="360" w:lineRule="auto"/>
              <w:jc w:val="center"/>
              <w:rPr>
                <w:rFonts w:ascii="Calibri" w:eastAsia="Times New Roman" w:hAnsi="Calibri" w:cs="Calibri"/>
                <w:sz w:val="22"/>
                <w:szCs w:val="22"/>
                <w:lang w:eastAsia="en-GB"/>
              </w:rPr>
            </w:pPr>
            <w:r>
              <w:rPr>
                <w:rFonts w:ascii="Calibri" w:eastAsia="Times New Roman" w:hAnsi="Calibri" w:cs="Calibri"/>
                <w:sz w:val="22"/>
                <w:szCs w:val="22"/>
                <w:lang w:eastAsia="en-GB"/>
              </w:rPr>
              <w:t>6.5 days</w:t>
            </w:r>
          </w:p>
          <w:p w:rsidR="009D6B97" w:rsidRPr="004E1E46" w:rsidRDefault="009D6B97" w:rsidP="00CD3554">
            <w:pPr>
              <w:jc w:val="center"/>
              <w:rPr>
                <w:rFonts w:ascii="Calibri" w:eastAsia="Times New Roman" w:hAnsi="Calibri" w:cs="Calibri"/>
                <w:sz w:val="22"/>
                <w:szCs w:val="22"/>
                <w:lang w:eastAsia="en-GB"/>
              </w:rPr>
            </w:pPr>
          </w:p>
        </w:tc>
        <w:tc>
          <w:tcPr>
            <w:tcW w:w="1218" w:type="dxa"/>
            <w:tcBorders>
              <w:top w:val="nil"/>
              <w:left w:val="nil"/>
              <w:bottom w:val="single" w:sz="4" w:space="0" w:color="auto"/>
              <w:right w:val="nil"/>
            </w:tcBorders>
            <w:shd w:val="clear" w:color="auto" w:fill="auto"/>
            <w:hideMark/>
          </w:tcPr>
          <w:p w:rsidR="009D6B97" w:rsidRPr="004E1E46" w:rsidRDefault="00DD0D0B"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6.5 days</w:t>
            </w:r>
          </w:p>
        </w:tc>
        <w:tc>
          <w:tcPr>
            <w:tcW w:w="1350" w:type="dxa"/>
            <w:tcBorders>
              <w:top w:val="nil"/>
              <w:left w:val="single" w:sz="8" w:space="0" w:color="auto"/>
              <w:bottom w:val="single" w:sz="4" w:space="0" w:color="auto"/>
              <w:right w:val="single" w:sz="8" w:space="0" w:color="auto"/>
            </w:tcBorders>
            <w:shd w:val="clear" w:color="auto" w:fill="00B050"/>
            <w:hideMark/>
          </w:tcPr>
          <w:p w:rsidR="009D6B97" w:rsidRPr="009D6B97" w:rsidRDefault="004E1E46" w:rsidP="009D6B97">
            <w:pPr>
              <w:jc w:val="center"/>
              <w:rPr>
                <w:rFonts w:ascii="Calibri" w:eastAsia="Times New Roman" w:hAnsi="Calibri" w:cs="Calibri"/>
                <w:sz w:val="22"/>
                <w:szCs w:val="22"/>
                <w:lang w:eastAsia="en-GB"/>
              </w:rPr>
            </w:pPr>
            <w:r w:rsidRPr="004E1E46">
              <w:rPr>
                <w:rFonts w:ascii="Calibri" w:eastAsia="Times New Roman" w:hAnsi="Calibri" w:cs="Calibri"/>
                <w:sz w:val="22"/>
                <w:szCs w:val="22"/>
                <w:lang w:eastAsia="en-GB"/>
              </w:rPr>
              <w:t>5.98 days</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p>
        </w:tc>
      </w:tr>
      <w:tr w:rsidR="009D6B97" w:rsidRPr="009D6B97" w:rsidTr="00D255C9">
        <w:trPr>
          <w:trHeight w:val="2211"/>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CS003</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Customers calls answered on the council's main telephone service lines without hanging up</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Mark Chandler</w:t>
            </w:r>
          </w:p>
        </w:tc>
        <w:tc>
          <w:tcPr>
            <w:tcW w:w="1218" w:type="dxa"/>
            <w:tcBorders>
              <w:top w:val="nil"/>
              <w:left w:val="single" w:sz="8" w:space="0" w:color="auto"/>
              <w:bottom w:val="single" w:sz="4" w:space="0" w:color="auto"/>
              <w:right w:val="single" w:sz="8" w:space="0" w:color="auto"/>
            </w:tcBorders>
            <w:shd w:val="clear" w:color="auto" w:fill="auto"/>
            <w:hideMark/>
          </w:tcPr>
          <w:p w:rsidR="009D6B97" w:rsidRPr="009D6B97" w:rsidRDefault="002A09F8"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93%</w:t>
            </w:r>
          </w:p>
        </w:tc>
        <w:tc>
          <w:tcPr>
            <w:tcW w:w="1218" w:type="dxa"/>
            <w:tcBorders>
              <w:top w:val="nil"/>
              <w:left w:val="nil"/>
              <w:bottom w:val="single" w:sz="4" w:space="0" w:color="auto"/>
              <w:right w:val="nil"/>
            </w:tcBorders>
            <w:shd w:val="clear" w:color="auto" w:fill="auto"/>
            <w:hideMark/>
          </w:tcPr>
          <w:p w:rsidR="009D6B97" w:rsidRPr="009D6B97" w:rsidRDefault="00D255C9"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93%</w:t>
            </w:r>
          </w:p>
        </w:tc>
        <w:tc>
          <w:tcPr>
            <w:tcW w:w="1350" w:type="dxa"/>
            <w:tcBorders>
              <w:top w:val="nil"/>
              <w:left w:val="single" w:sz="8" w:space="0" w:color="auto"/>
              <w:bottom w:val="single" w:sz="4" w:space="0" w:color="auto"/>
              <w:right w:val="single" w:sz="8" w:space="0" w:color="auto"/>
            </w:tcBorders>
            <w:shd w:val="clear" w:color="auto" w:fill="FFC000"/>
            <w:noWrap/>
          </w:tcPr>
          <w:p w:rsidR="009D6B97" w:rsidRPr="009D6B97" w:rsidRDefault="009D34F4"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87.8</w:t>
            </w:r>
            <w:r w:rsidR="00D255C9">
              <w:rPr>
                <w:rFonts w:ascii="Calibri" w:eastAsia="Times New Roman" w:hAnsi="Calibri" w:cs="Calibri"/>
                <w:sz w:val="22"/>
                <w:szCs w:val="22"/>
                <w:lang w:eastAsia="en-GB"/>
              </w:rPr>
              <w:t>%</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2A09F8" w:rsidP="00D255C9">
            <w:pPr>
              <w:rPr>
                <w:rFonts w:ascii="Calibri" w:eastAsia="Times New Roman" w:hAnsi="Calibri" w:cs="Calibri"/>
                <w:sz w:val="22"/>
                <w:szCs w:val="22"/>
                <w:lang w:eastAsia="en-GB"/>
              </w:rPr>
            </w:pPr>
            <w:r w:rsidRPr="002A09F8">
              <w:rPr>
                <w:rFonts w:ascii="Calibri" w:eastAsia="Times New Roman" w:hAnsi="Calibri" w:cs="Calibri"/>
                <w:sz w:val="22"/>
                <w:szCs w:val="22"/>
                <w:lang w:eastAsia="en-GB"/>
              </w:rPr>
              <w:t>In June we saw an increase in overall call volume of 883 calls compared to May. Council tax calls increased s</w:t>
            </w:r>
            <w:bookmarkStart w:id="0" w:name="_GoBack"/>
            <w:bookmarkEnd w:id="0"/>
            <w:r w:rsidRPr="002A09F8">
              <w:rPr>
                <w:rFonts w:ascii="Calibri" w:eastAsia="Times New Roman" w:hAnsi="Calibri" w:cs="Calibri"/>
                <w:sz w:val="22"/>
                <w:szCs w:val="22"/>
                <w:lang w:eastAsia="en-GB"/>
              </w:rPr>
              <w:t>ubstantially towards the end of the month as we saw the impact of over 4000 single person discount letters that were sent out generating query calls. We also saw substantial increases in missed bin calls as we were advised by ODS that they were unable to collect some bins over a 2 week period. We added a message to the telephone system asking residents to leave their bins out. Holiday was high with 950 hours taken as we start to get into the later part of the holiday year. We also lost 193 hours due to sickness. We invested 157 hours to continue our multiskilling program and have now increased the % to 80% multi</w:t>
            </w:r>
            <w:r w:rsidR="00085006">
              <w:rPr>
                <w:rFonts w:ascii="Calibri" w:eastAsia="Times New Roman" w:hAnsi="Calibri" w:cs="Calibri"/>
                <w:sz w:val="22"/>
                <w:szCs w:val="22"/>
                <w:lang w:eastAsia="en-GB"/>
              </w:rPr>
              <w:t xml:space="preserve">- </w:t>
            </w:r>
            <w:r w:rsidRPr="002A09F8">
              <w:rPr>
                <w:rFonts w:ascii="Calibri" w:eastAsia="Times New Roman" w:hAnsi="Calibri" w:cs="Calibri"/>
                <w:sz w:val="22"/>
                <w:szCs w:val="22"/>
                <w:lang w:eastAsia="en-GB"/>
              </w:rPr>
              <w:t>skilled officers across all services. We have been 2 heads down due to maternity leave in June which has affected our available resources and had been unable to backfill these posts due to Finance challenging on our forecast overspend. It has now been agreed by Finance that we can go ahead and recruit these posts</w:t>
            </w:r>
            <w:r>
              <w:rPr>
                <w:rFonts w:ascii="Calibri" w:eastAsia="Times New Roman" w:hAnsi="Calibri" w:cs="Calibri"/>
                <w:sz w:val="22"/>
                <w:szCs w:val="22"/>
                <w:lang w:eastAsia="en-GB"/>
              </w:rPr>
              <w:t>.</w:t>
            </w:r>
          </w:p>
        </w:tc>
      </w:tr>
      <w:tr w:rsidR="009D6B97" w:rsidRPr="009D6B97" w:rsidTr="00CE6277">
        <w:trPr>
          <w:trHeight w:val="145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BI001a</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Council spend with local business (excluding ODS and OCHL)</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Annette Osborne</w:t>
            </w:r>
          </w:p>
        </w:tc>
        <w:tc>
          <w:tcPr>
            <w:tcW w:w="1218" w:type="dxa"/>
            <w:tcBorders>
              <w:top w:val="nil"/>
              <w:left w:val="single" w:sz="8" w:space="0" w:color="auto"/>
              <w:bottom w:val="single" w:sz="4" w:space="0" w:color="auto"/>
              <w:right w:val="single" w:sz="8" w:space="0" w:color="auto"/>
            </w:tcBorders>
            <w:shd w:val="clear" w:color="auto" w:fill="auto"/>
            <w:hideMark/>
          </w:tcPr>
          <w:p w:rsidR="009D6B97" w:rsidRPr="009D6B97" w:rsidRDefault="009D34F4"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40</w:t>
            </w:r>
            <w:r w:rsidR="00CD3554">
              <w:rPr>
                <w:rFonts w:ascii="Calibri" w:eastAsia="Times New Roman" w:hAnsi="Calibri" w:cs="Calibri"/>
                <w:sz w:val="22"/>
                <w:szCs w:val="22"/>
                <w:lang w:eastAsia="en-GB"/>
              </w:rPr>
              <w:t>%</w:t>
            </w:r>
          </w:p>
        </w:tc>
        <w:tc>
          <w:tcPr>
            <w:tcW w:w="1218" w:type="dxa"/>
            <w:tcBorders>
              <w:top w:val="nil"/>
              <w:left w:val="nil"/>
              <w:bottom w:val="single" w:sz="4" w:space="0" w:color="auto"/>
              <w:right w:val="nil"/>
            </w:tcBorders>
            <w:shd w:val="clear" w:color="auto" w:fill="auto"/>
            <w:hideMark/>
          </w:tcPr>
          <w:p w:rsidR="009D6B97" w:rsidRPr="009D6B97" w:rsidRDefault="009D34F4"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40</w:t>
            </w:r>
            <w:r w:rsidR="00D255C9">
              <w:rPr>
                <w:rFonts w:ascii="Calibri" w:eastAsia="Times New Roman" w:hAnsi="Calibri" w:cs="Calibri"/>
                <w:sz w:val="22"/>
                <w:szCs w:val="22"/>
                <w:lang w:eastAsia="en-GB"/>
              </w:rPr>
              <w:t>%</w:t>
            </w:r>
          </w:p>
        </w:tc>
        <w:tc>
          <w:tcPr>
            <w:tcW w:w="1350" w:type="dxa"/>
            <w:tcBorders>
              <w:top w:val="nil"/>
              <w:left w:val="single" w:sz="8" w:space="0" w:color="auto"/>
              <w:bottom w:val="single" w:sz="4" w:space="0" w:color="auto"/>
              <w:right w:val="single" w:sz="8" w:space="0" w:color="auto"/>
            </w:tcBorders>
            <w:shd w:val="clear" w:color="auto" w:fill="FF0000"/>
          </w:tcPr>
          <w:p w:rsidR="009D6B97" w:rsidRPr="009D6B97" w:rsidRDefault="009D34F4" w:rsidP="009D6B97">
            <w:pPr>
              <w:jc w:val="center"/>
              <w:rPr>
                <w:rFonts w:ascii="Calibri" w:eastAsia="Times New Roman" w:hAnsi="Calibri" w:cs="Calibri"/>
                <w:sz w:val="22"/>
                <w:szCs w:val="22"/>
                <w:lang w:eastAsia="en-GB"/>
              </w:rPr>
            </w:pPr>
            <w:r>
              <w:rPr>
                <w:rFonts w:ascii="Calibri" w:eastAsia="Times New Roman" w:hAnsi="Calibri" w:cs="Calibri"/>
                <w:color w:val="FFFFFF" w:themeColor="background1"/>
                <w:sz w:val="22"/>
                <w:szCs w:val="22"/>
                <w:lang w:eastAsia="en-GB"/>
              </w:rPr>
              <w:t>32.61</w:t>
            </w:r>
            <w:r w:rsidR="00AF594C" w:rsidRPr="00AF594C">
              <w:rPr>
                <w:rFonts w:ascii="Calibri" w:eastAsia="Times New Roman" w:hAnsi="Calibri" w:cs="Calibri"/>
                <w:color w:val="FFFFFF" w:themeColor="background1"/>
                <w:sz w:val="22"/>
                <w:szCs w:val="22"/>
                <w:lang w:eastAsia="en-GB"/>
              </w:rPr>
              <w:t>%</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9D34F4" w:rsidP="009D6B97">
            <w:pPr>
              <w:rPr>
                <w:rFonts w:ascii="Calibri" w:eastAsia="Times New Roman" w:hAnsi="Calibri" w:cs="Calibri"/>
                <w:sz w:val="22"/>
                <w:szCs w:val="22"/>
                <w:lang w:eastAsia="en-GB"/>
              </w:rPr>
            </w:pPr>
            <w:r w:rsidRPr="009D34F4">
              <w:rPr>
                <w:rFonts w:ascii="Calibri" w:eastAsia="Times New Roman" w:hAnsi="Calibri" w:cs="Calibri"/>
                <w:sz w:val="22"/>
                <w:szCs w:val="22"/>
                <w:lang w:eastAsia="en-GB"/>
              </w:rPr>
              <w:t>Below target of 40% however this figure excludes ODSL and OCHL - who report local spend independently. No action required at this time.</w:t>
            </w:r>
          </w:p>
        </w:tc>
      </w:tr>
      <w:tr w:rsidR="009D6B97" w:rsidRPr="009D6B97" w:rsidTr="00F54F2A">
        <w:trPr>
          <w:trHeight w:val="87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lastRenderedPageBreak/>
              <w:t>BI001b</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The Percentage of ODS spend with local business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Nicky Atkin</w:t>
            </w:r>
          </w:p>
        </w:tc>
        <w:tc>
          <w:tcPr>
            <w:tcW w:w="1218" w:type="dxa"/>
            <w:tcBorders>
              <w:top w:val="nil"/>
              <w:left w:val="single" w:sz="8" w:space="0" w:color="auto"/>
              <w:bottom w:val="single" w:sz="4" w:space="0" w:color="auto"/>
              <w:right w:val="single" w:sz="8" w:space="0" w:color="auto"/>
            </w:tcBorders>
            <w:shd w:val="clear" w:color="auto" w:fill="auto"/>
            <w:hideMark/>
          </w:tcPr>
          <w:p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55%</w:t>
            </w:r>
          </w:p>
        </w:tc>
        <w:tc>
          <w:tcPr>
            <w:tcW w:w="1218" w:type="dxa"/>
            <w:tcBorders>
              <w:top w:val="nil"/>
              <w:left w:val="nil"/>
              <w:bottom w:val="single" w:sz="4" w:space="0" w:color="auto"/>
              <w:right w:val="nil"/>
            </w:tcBorders>
            <w:shd w:val="clear" w:color="auto" w:fill="auto"/>
            <w:hideMark/>
          </w:tcPr>
          <w:p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55%</w:t>
            </w:r>
          </w:p>
        </w:tc>
        <w:tc>
          <w:tcPr>
            <w:tcW w:w="1350" w:type="dxa"/>
            <w:tcBorders>
              <w:top w:val="nil"/>
              <w:left w:val="single" w:sz="8" w:space="0" w:color="auto"/>
              <w:bottom w:val="single" w:sz="4" w:space="0" w:color="auto"/>
              <w:right w:val="single" w:sz="8" w:space="0" w:color="auto"/>
            </w:tcBorders>
            <w:shd w:val="clear" w:color="auto" w:fill="FF0000"/>
          </w:tcPr>
          <w:p w:rsidR="009D6B97" w:rsidRPr="00F54F2A" w:rsidRDefault="00F54F2A" w:rsidP="009D6B97">
            <w:pPr>
              <w:jc w:val="center"/>
              <w:rPr>
                <w:rFonts w:ascii="Calibri" w:eastAsia="Times New Roman" w:hAnsi="Calibri" w:cs="Calibri"/>
                <w:color w:val="FFFFFF" w:themeColor="background1"/>
                <w:sz w:val="22"/>
                <w:szCs w:val="22"/>
                <w:lang w:eastAsia="en-GB"/>
              </w:rPr>
            </w:pPr>
            <w:r w:rsidRPr="00F54F2A">
              <w:rPr>
                <w:rFonts w:ascii="Calibri" w:eastAsia="Times New Roman" w:hAnsi="Calibri" w:cs="Calibri"/>
                <w:color w:val="FFFFFF" w:themeColor="background1"/>
                <w:sz w:val="22"/>
                <w:szCs w:val="22"/>
                <w:lang w:eastAsia="en-GB"/>
              </w:rPr>
              <w:t>45.07</w:t>
            </w:r>
            <w:r>
              <w:rPr>
                <w:rFonts w:ascii="Calibri" w:eastAsia="Times New Roman" w:hAnsi="Calibri" w:cs="Calibri"/>
                <w:color w:val="FFFFFF" w:themeColor="background1"/>
                <w:sz w:val="22"/>
                <w:szCs w:val="22"/>
                <w:lang w:eastAsia="en-GB"/>
              </w:rPr>
              <w:t>%</w:t>
            </w:r>
          </w:p>
        </w:tc>
        <w:tc>
          <w:tcPr>
            <w:tcW w:w="6379" w:type="dxa"/>
            <w:tcBorders>
              <w:top w:val="nil"/>
              <w:left w:val="nil"/>
              <w:bottom w:val="single" w:sz="4" w:space="0" w:color="auto"/>
              <w:right w:val="single" w:sz="8" w:space="0" w:color="auto"/>
            </w:tcBorders>
            <w:shd w:val="clear" w:color="auto" w:fill="auto"/>
          </w:tcPr>
          <w:p w:rsidR="009D6B97" w:rsidRPr="009D6B97" w:rsidRDefault="009D6B97" w:rsidP="009D6B97">
            <w:pPr>
              <w:rPr>
                <w:rFonts w:ascii="Calibri" w:eastAsia="Times New Roman" w:hAnsi="Calibri" w:cs="Calibri"/>
                <w:sz w:val="22"/>
                <w:szCs w:val="22"/>
                <w:lang w:eastAsia="en-GB"/>
              </w:rPr>
            </w:pPr>
          </w:p>
        </w:tc>
      </w:tr>
      <w:tr w:rsidR="009D6B97" w:rsidRPr="009D6B97" w:rsidTr="00CE6277">
        <w:trPr>
          <w:trHeight w:val="935"/>
        </w:trPr>
        <w:tc>
          <w:tcPr>
            <w:tcW w:w="1276" w:type="dxa"/>
            <w:tcBorders>
              <w:top w:val="nil"/>
              <w:left w:val="single" w:sz="8" w:space="0" w:color="auto"/>
              <w:bottom w:val="single" w:sz="4" w:space="0" w:color="auto"/>
              <w:right w:val="nil"/>
            </w:tcBorders>
            <w:shd w:val="clear" w:color="auto" w:fill="auto"/>
            <w:noWrap/>
            <w:hideMark/>
          </w:tcPr>
          <w:p w:rsidR="009D6B97" w:rsidRPr="00B34F03" w:rsidRDefault="009D6B97" w:rsidP="009D6B97">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BI001c</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B34F03" w:rsidRDefault="009D6B97" w:rsidP="009D6B97">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The Percentage of OCHL spend with local business</w:t>
            </w:r>
          </w:p>
        </w:tc>
        <w:tc>
          <w:tcPr>
            <w:tcW w:w="1276" w:type="dxa"/>
            <w:tcBorders>
              <w:top w:val="nil"/>
              <w:left w:val="nil"/>
              <w:bottom w:val="single" w:sz="4" w:space="0" w:color="auto"/>
              <w:right w:val="nil"/>
            </w:tcBorders>
            <w:shd w:val="clear" w:color="auto" w:fill="auto"/>
            <w:hideMark/>
          </w:tcPr>
          <w:p w:rsidR="009D6B97" w:rsidRPr="00B34F03" w:rsidRDefault="009D6B97" w:rsidP="009D6B97">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Annette Osborne</w:t>
            </w:r>
          </w:p>
        </w:tc>
        <w:tc>
          <w:tcPr>
            <w:tcW w:w="1218" w:type="dxa"/>
            <w:tcBorders>
              <w:top w:val="nil"/>
              <w:left w:val="single" w:sz="8" w:space="0" w:color="auto"/>
              <w:bottom w:val="single" w:sz="4" w:space="0" w:color="auto"/>
              <w:right w:val="single" w:sz="8" w:space="0" w:color="auto"/>
            </w:tcBorders>
            <w:shd w:val="clear" w:color="auto" w:fill="FFFFFF" w:themeFill="background1"/>
            <w:hideMark/>
          </w:tcPr>
          <w:p w:rsidR="009D6B97" w:rsidRPr="00B34F03" w:rsidRDefault="00CD3554" w:rsidP="009D6B97">
            <w:pPr>
              <w:jc w:val="cente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4.75%</w:t>
            </w:r>
          </w:p>
        </w:tc>
        <w:tc>
          <w:tcPr>
            <w:tcW w:w="1218" w:type="dxa"/>
            <w:tcBorders>
              <w:top w:val="nil"/>
              <w:left w:val="nil"/>
              <w:bottom w:val="single" w:sz="4" w:space="0" w:color="auto"/>
              <w:right w:val="nil"/>
            </w:tcBorders>
            <w:shd w:val="clear" w:color="auto" w:fill="auto"/>
            <w:hideMark/>
          </w:tcPr>
          <w:p w:rsidR="009D6B97" w:rsidRPr="00B34F03" w:rsidRDefault="00AF594C" w:rsidP="00AF594C">
            <w:pPr>
              <w:jc w:val="cente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10%</w:t>
            </w:r>
          </w:p>
        </w:tc>
        <w:tc>
          <w:tcPr>
            <w:tcW w:w="1350" w:type="dxa"/>
            <w:tcBorders>
              <w:top w:val="nil"/>
              <w:left w:val="single" w:sz="8" w:space="0" w:color="auto"/>
              <w:bottom w:val="single" w:sz="4" w:space="0" w:color="auto"/>
              <w:right w:val="single" w:sz="8" w:space="0" w:color="auto"/>
            </w:tcBorders>
            <w:shd w:val="clear" w:color="auto" w:fill="00B050"/>
          </w:tcPr>
          <w:p w:rsidR="009D6B97" w:rsidRPr="00B34F03" w:rsidRDefault="00AF594C" w:rsidP="009D6B97">
            <w:pPr>
              <w:jc w:val="cente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75.41%</w:t>
            </w:r>
          </w:p>
        </w:tc>
        <w:tc>
          <w:tcPr>
            <w:tcW w:w="6379" w:type="dxa"/>
            <w:tcBorders>
              <w:top w:val="nil"/>
              <w:left w:val="nil"/>
              <w:bottom w:val="single" w:sz="4" w:space="0" w:color="auto"/>
              <w:right w:val="single" w:sz="8" w:space="0" w:color="auto"/>
            </w:tcBorders>
            <w:shd w:val="clear" w:color="auto" w:fill="auto"/>
          </w:tcPr>
          <w:p w:rsidR="009D6B97" w:rsidRPr="009D6B97" w:rsidRDefault="00AF594C" w:rsidP="009D6B97">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Year-end average is 12%.</w:t>
            </w:r>
          </w:p>
        </w:tc>
      </w:tr>
      <w:tr w:rsidR="009D6B97" w:rsidRPr="009D6B97" w:rsidTr="00F54F2A">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BV008</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Percentage of invoices paid on time for OCC</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Anna Winship</w:t>
            </w:r>
          </w:p>
        </w:tc>
        <w:tc>
          <w:tcPr>
            <w:tcW w:w="1218" w:type="dxa"/>
            <w:tcBorders>
              <w:top w:val="nil"/>
              <w:left w:val="single" w:sz="8" w:space="0" w:color="auto"/>
              <w:bottom w:val="single" w:sz="4" w:space="0" w:color="auto"/>
              <w:right w:val="single" w:sz="8" w:space="0" w:color="auto"/>
            </w:tcBorders>
            <w:shd w:val="clear" w:color="auto" w:fill="auto"/>
            <w:hideMark/>
          </w:tcPr>
          <w:p w:rsidR="009D6B97" w:rsidRPr="009D6B97" w:rsidRDefault="00F54F2A" w:rsidP="00203A7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w:t>
            </w:r>
            <w:r w:rsidR="00CD3554">
              <w:rPr>
                <w:rFonts w:ascii="Calibri" w:eastAsia="Times New Roman" w:hAnsi="Calibri" w:cs="Calibri"/>
                <w:sz w:val="22"/>
                <w:szCs w:val="22"/>
                <w:lang w:eastAsia="en-GB"/>
              </w:rPr>
              <w:t>%</w:t>
            </w:r>
          </w:p>
        </w:tc>
        <w:tc>
          <w:tcPr>
            <w:tcW w:w="1218" w:type="dxa"/>
            <w:tcBorders>
              <w:top w:val="nil"/>
              <w:left w:val="nil"/>
              <w:bottom w:val="single" w:sz="4" w:space="0" w:color="auto"/>
              <w:right w:val="nil"/>
            </w:tcBorders>
            <w:shd w:val="clear" w:color="auto" w:fill="auto"/>
            <w:hideMark/>
          </w:tcPr>
          <w:p w:rsidR="009D6B97" w:rsidRPr="009D6B97" w:rsidRDefault="00203A7E" w:rsidP="00203A7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w:t>
            </w:r>
          </w:p>
        </w:tc>
        <w:tc>
          <w:tcPr>
            <w:tcW w:w="1350" w:type="dxa"/>
            <w:tcBorders>
              <w:top w:val="nil"/>
              <w:left w:val="single" w:sz="8" w:space="0" w:color="auto"/>
              <w:bottom w:val="single" w:sz="4" w:space="0" w:color="auto"/>
              <w:right w:val="single" w:sz="8" w:space="0" w:color="auto"/>
            </w:tcBorders>
            <w:shd w:val="clear" w:color="auto" w:fill="FF0000"/>
            <w:hideMark/>
          </w:tcPr>
          <w:p w:rsidR="009D6B97" w:rsidRPr="00F54F2A" w:rsidRDefault="00F54F2A" w:rsidP="009D6B97">
            <w:pPr>
              <w:jc w:val="center"/>
              <w:rPr>
                <w:rFonts w:ascii="Calibri" w:eastAsia="Times New Roman" w:hAnsi="Calibri" w:cs="Calibri"/>
                <w:color w:val="FFFFFF" w:themeColor="background1"/>
                <w:sz w:val="22"/>
                <w:szCs w:val="22"/>
                <w:lang w:eastAsia="en-GB"/>
              </w:rPr>
            </w:pPr>
            <w:r w:rsidRPr="00F54F2A">
              <w:rPr>
                <w:rFonts w:ascii="Calibri" w:eastAsia="Times New Roman" w:hAnsi="Calibri" w:cs="Calibri"/>
                <w:color w:val="FFFFFF" w:themeColor="background1"/>
                <w:sz w:val="22"/>
                <w:szCs w:val="22"/>
                <w:lang w:eastAsia="en-GB"/>
              </w:rPr>
              <w:t>14.92</w:t>
            </w:r>
            <w:r w:rsidR="00203A7E" w:rsidRPr="00F54F2A">
              <w:rPr>
                <w:rFonts w:ascii="Calibri" w:eastAsia="Times New Roman" w:hAnsi="Calibri" w:cs="Calibri"/>
                <w:color w:val="FFFFFF" w:themeColor="background1"/>
                <w:sz w:val="22"/>
                <w:szCs w:val="22"/>
                <w:lang w:eastAsia="en-GB"/>
              </w:rPr>
              <w:t>%</w:t>
            </w:r>
          </w:p>
        </w:tc>
        <w:tc>
          <w:tcPr>
            <w:tcW w:w="6379" w:type="dxa"/>
            <w:tcBorders>
              <w:top w:val="nil"/>
              <w:left w:val="nil"/>
              <w:bottom w:val="single" w:sz="4" w:space="0" w:color="auto"/>
              <w:right w:val="single" w:sz="8" w:space="0" w:color="auto"/>
            </w:tcBorders>
            <w:shd w:val="clear" w:color="auto" w:fill="auto"/>
          </w:tcPr>
          <w:p w:rsidR="009D6B97" w:rsidRPr="009D6B97" w:rsidRDefault="009D6B97" w:rsidP="009D6B97">
            <w:pPr>
              <w:rPr>
                <w:rFonts w:ascii="Calibri" w:eastAsia="Times New Roman" w:hAnsi="Calibri" w:cs="Calibri"/>
                <w:sz w:val="22"/>
                <w:szCs w:val="22"/>
                <w:lang w:eastAsia="en-GB"/>
              </w:rPr>
            </w:pPr>
          </w:p>
        </w:tc>
      </w:tr>
      <w:tr w:rsidR="009D6B97" w:rsidRPr="009D6B97" w:rsidTr="00F54F2A">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CS002</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Time to process changes in circumstances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Laura Bessell</w:t>
            </w:r>
          </w:p>
        </w:tc>
        <w:tc>
          <w:tcPr>
            <w:tcW w:w="1218" w:type="dxa"/>
            <w:tcBorders>
              <w:top w:val="nil"/>
              <w:left w:val="single" w:sz="8" w:space="0" w:color="auto"/>
              <w:bottom w:val="single" w:sz="4" w:space="0" w:color="auto"/>
              <w:right w:val="single" w:sz="8" w:space="0" w:color="auto"/>
            </w:tcBorders>
            <w:shd w:val="clear" w:color="auto" w:fill="auto"/>
            <w:hideMark/>
          </w:tcPr>
          <w:p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15</w:t>
            </w:r>
            <w:r w:rsidR="007D15FE">
              <w:rPr>
                <w:rFonts w:ascii="Calibri" w:eastAsia="Times New Roman" w:hAnsi="Calibri" w:cs="Calibri"/>
                <w:sz w:val="22"/>
                <w:szCs w:val="22"/>
                <w:lang w:eastAsia="en-GB"/>
              </w:rPr>
              <w:t xml:space="preserve"> days</w:t>
            </w:r>
          </w:p>
        </w:tc>
        <w:tc>
          <w:tcPr>
            <w:tcW w:w="1218"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r w:rsidR="007D15FE">
              <w:rPr>
                <w:rFonts w:ascii="Calibri" w:eastAsia="Times New Roman" w:hAnsi="Calibri" w:cs="Calibri"/>
                <w:sz w:val="22"/>
                <w:szCs w:val="22"/>
                <w:lang w:eastAsia="en-GB"/>
              </w:rPr>
              <w:t xml:space="preserve"> days</w:t>
            </w:r>
          </w:p>
        </w:tc>
        <w:tc>
          <w:tcPr>
            <w:tcW w:w="1350" w:type="dxa"/>
            <w:tcBorders>
              <w:top w:val="nil"/>
              <w:left w:val="single" w:sz="8" w:space="0" w:color="auto"/>
              <w:bottom w:val="single" w:sz="4" w:space="0" w:color="auto"/>
              <w:right w:val="single" w:sz="8" w:space="0" w:color="auto"/>
            </w:tcBorders>
            <w:shd w:val="clear" w:color="auto" w:fill="FFC000"/>
            <w:hideMark/>
          </w:tcPr>
          <w:p w:rsidR="009D6B97" w:rsidRPr="007D15FE" w:rsidRDefault="00F54F2A" w:rsidP="009D6B97">
            <w:pPr>
              <w:jc w:val="center"/>
              <w:rPr>
                <w:rFonts w:ascii="Calibri" w:eastAsia="Times New Roman" w:hAnsi="Calibri" w:cs="Calibri"/>
                <w:color w:val="FFFFFF" w:themeColor="background1"/>
                <w:sz w:val="22"/>
                <w:szCs w:val="22"/>
                <w:lang w:eastAsia="en-GB"/>
              </w:rPr>
            </w:pPr>
            <w:r w:rsidRPr="00F54F2A">
              <w:rPr>
                <w:rFonts w:ascii="Calibri" w:eastAsia="Times New Roman" w:hAnsi="Calibri" w:cs="Calibri"/>
                <w:sz w:val="22"/>
                <w:szCs w:val="22"/>
                <w:lang w:eastAsia="en-GB"/>
              </w:rPr>
              <w:t>18</w:t>
            </w:r>
            <w:r w:rsidR="007D15FE" w:rsidRPr="00F54F2A">
              <w:rPr>
                <w:rFonts w:ascii="Calibri" w:eastAsia="Times New Roman" w:hAnsi="Calibri" w:cs="Calibri"/>
                <w:sz w:val="22"/>
                <w:szCs w:val="22"/>
                <w:lang w:eastAsia="en-GB"/>
              </w:rPr>
              <w:t xml:space="preserve"> days</w:t>
            </w:r>
          </w:p>
        </w:tc>
        <w:tc>
          <w:tcPr>
            <w:tcW w:w="6379" w:type="dxa"/>
            <w:tcBorders>
              <w:top w:val="nil"/>
              <w:left w:val="nil"/>
              <w:bottom w:val="single" w:sz="4" w:space="0" w:color="auto"/>
              <w:right w:val="single" w:sz="8" w:space="0" w:color="auto"/>
            </w:tcBorders>
            <w:shd w:val="clear" w:color="auto" w:fill="auto"/>
          </w:tcPr>
          <w:p w:rsidR="009D6B97" w:rsidRPr="009D6B97" w:rsidRDefault="00F54F2A" w:rsidP="009D6B97">
            <w:pPr>
              <w:rPr>
                <w:rFonts w:ascii="Calibri" w:eastAsia="Times New Roman" w:hAnsi="Calibri" w:cs="Calibri"/>
                <w:sz w:val="22"/>
                <w:szCs w:val="22"/>
                <w:lang w:eastAsia="en-GB"/>
              </w:rPr>
            </w:pPr>
            <w:r w:rsidRPr="00F54F2A">
              <w:rPr>
                <w:rFonts w:ascii="Calibri" w:eastAsia="Times New Roman" w:hAnsi="Calibri" w:cs="Calibri"/>
                <w:sz w:val="22"/>
                <w:szCs w:val="22"/>
                <w:lang w:eastAsia="en-GB"/>
              </w:rPr>
              <w:t>Significant improvement, getting closer to 15 day target as we clear the backlog.</w:t>
            </w:r>
          </w:p>
        </w:tc>
      </w:tr>
      <w:tr w:rsidR="009D6B97" w:rsidRPr="009D6B97" w:rsidTr="00F54F2A">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CS005</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Time to process new benefits claims</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Laura Bessell</w:t>
            </w:r>
          </w:p>
        </w:tc>
        <w:tc>
          <w:tcPr>
            <w:tcW w:w="1218" w:type="dxa"/>
            <w:tcBorders>
              <w:top w:val="nil"/>
              <w:left w:val="single" w:sz="8" w:space="0" w:color="auto"/>
              <w:bottom w:val="single" w:sz="4" w:space="0" w:color="auto"/>
              <w:right w:val="single" w:sz="8" w:space="0" w:color="auto"/>
            </w:tcBorders>
            <w:shd w:val="clear" w:color="auto" w:fill="auto"/>
            <w:hideMark/>
          </w:tcPr>
          <w:p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15</w:t>
            </w:r>
            <w:r w:rsidR="007D15FE">
              <w:rPr>
                <w:rFonts w:ascii="Calibri" w:eastAsia="Times New Roman" w:hAnsi="Calibri" w:cs="Calibri"/>
                <w:sz w:val="22"/>
                <w:szCs w:val="22"/>
                <w:lang w:eastAsia="en-GB"/>
              </w:rPr>
              <w:t xml:space="preserve"> days</w:t>
            </w:r>
          </w:p>
        </w:tc>
        <w:tc>
          <w:tcPr>
            <w:tcW w:w="1218" w:type="dxa"/>
            <w:tcBorders>
              <w:top w:val="nil"/>
              <w:left w:val="nil"/>
              <w:bottom w:val="single" w:sz="4" w:space="0" w:color="auto"/>
              <w:right w:val="nil"/>
            </w:tcBorders>
            <w:shd w:val="clear" w:color="auto" w:fill="auto"/>
            <w:hideMark/>
          </w:tcPr>
          <w:p w:rsidR="009D6B97" w:rsidRPr="009D6B97" w:rsidRDefault="009D6B97" w:rsidP="009D6B9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15</w:t>
            </w:r>
            <w:r w:rsidR="007D15FE">
              <w:rPr>
                <w:rFonts w:ascii="Calibri" w:eastAsia="Times New Roman" w:hAnsi="Calibri" w:cs="Calibri"/>
                <w:sz w:val="22"/>
                <w:szCs w:val="22"/>
                <w:lang w:eastAsia="en-GB"/>
              </w:rPr>
              <w:t xml:space="preserve"> days</w:t>
            </w:r>
          </w:p>
        </w:tc>
        <w:tc>
          <w:tcPr>
            <w:tcW w:w="1350" w:type="dxa"/>
            <w:tcBorders>
              <w:top w:val="nil"/>
              <w:left w:val="single" w:sz="8" w:space="0" w:color="auto"/>
              <w:bottom w:val="single" w:sz="4" w:space="0" w:color="auto"/>
              <w:right w:val="single" w:sz="8" w:space="0" w:color="auto"/>
            </w:tcBorders>
            <w:shd w:val="clear" w:color="auto" w:fill="FFC000"/>
            <w:hideMark/>
          </w:tcPr>
          <w:p w:rsidR="009D6B97" w:rsidRPr="007D15FE" w:rsidRDefault="00F54F2A" w:rsidP="009D6B97">
            <w:pPr>
              <w:jc w:val="center"/>
              <w:rPr>
                <w:rFonts w:ascii="Calibri" w:eastAsia="Times New Roman" w:hAnsi="Calibri" w:cs="Calibri"/>
                <w:color w:val="FFFFFF" w:themeColor="background1"/>
                <w:sz w:val="22"/>
                <w:szCs w:val="22"/>
                <w:lang w:eastAsia="en-GB"/>
              </w:rPr>
            </w:pPr>
            <w:r w:rsidRPr="00F54F2A">
              <w:rPr>
                <w:rFonts w:ascii="Calibri" w:eastAsia="Times New Roman" w:hAnsi="Calibri" w:cs="Calibri"/>
                <w:sz w:val="22"/>
                <w:szCs w:val="22"/>
                <w:lang w:eastAsia="en-GB"/>
              </w:rPr>
              <w:t>17</w:t>
            </w:r>
            <w:r w:rsidR="007D15FE" w:rsidRPr="00F54F2A">
              <w:rPr>
                <w:rFonts w:ascii="Calibri" w:eastAsia="Times New Roman" w:hAnsi="Calibri" w:cs="Calibri"/>
                <w:sz w:val="22"/>
                <w:szCs w:val="22"/>
                <w:lang w:eastAsia="en-GB"/>
              </w:rPr>
              <w:t xml:space="preserve"> days</w:t>
            </w:r>
          </w:p>
        </w:tc>
        <w:tc>
          <w:tcPr>
            <w:tcW w:w="6379" w:type="dxa"/>
            <w:tcBorders>
              <w:top w:val="nil"/>
              <w:left w:val="nil"/>
              <w:bottom w:val="single" w:sz="4" w:space="0" w:color="auto"/>
              <w:right w:val="single" w:sz="8" w:space="0" w:color="auto"/>
            </w:tcBorders>
            <w:shd w:val="clear" w:color="auto" w:fill="auto"/>
          </w:tcPr>
          <w:p w:rsidR="009D6B97" w:rsidRPr="009D6B97" w:rsidRDefault="00F54F2A" w:rsidP="009D6B97">
            <w:pPr>
              <w:rPr>
                <w:rFonts w:ascii="Calibri" w:eastAsia="Times New Roman" w:hAnsi="Calibri" w:cs="Calibri"/>
                <w:sz w:val="22"/>
                <w:szCs w:val="22"/>
                <w:lang w:eastAsia="en-GB"/>
              </w:rPr>
            </w:pPr>
            <w:r w:rsidRPr="00F54F2A">
              <w:rPr>
                <w:rFonts w:ascii="Calibri" w:eastAsia="Times New Roman" w:hAnsi="Calibri" w:cs="Calibri"/>
                <w:sz w:val="22"/>
                <w:szCs w:val="22"/>
                <w:lang w:eastAsia="en-GB"/>
              </w:rPr>
              <w:t>Significant improvement, getting closer to 15 day target as we deal with more up to date claims.</w:t>
            </w:r>
          </w:p>
        </w:tc>
      </w:tr>
      <w:tr w:rsidR="009D6B97" w:rsidRPr="009D6B97" w:rsidTr="007D15FE">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FN008</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Investment return above base rate</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Bill Lewis</w:t>
            </w:r>
          </w:p>
        </w:tc>
        <w:tc>
          <w:tcPr>
            <w:tcW w:w="1218" w:type="dxa"/>
            <w:tcBorders>
              <w:top w:val="nil"/>
              <w:left w:val="single" w:sz="8" w:space="0" w:color="auto"/>
              <w:bottom w:val="single" w:sz="4" w:space="0" w:color="auto"/>
              <w:right w:val="single" w:sz="8" w:space="0" w:color="auto"/>
            </w:tcBorders>
            <w:shd w:val="clear" w:color="auto" w:fill="auto"/>
            <w:hideMark/>
          </w:tcPr>
          <w:p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0.001</w:t>
            </w:r>
            <w:r w:rsidR="00CE6277">
              <w:rPr>
                <w:rFonts w:ascii="Calibri" w:eastAsia="Times New Roman" w:hAnsi="Calibri" w:cs="Calibri"/>
                <w:sz w:val="22"/>
                <w:szCs w:val="22"/>
                <w:lang w:eastAsia="en-GB"/>
              </w:rPr>
              <w:t>%</w:t>
            </w:r>
          </w:p>
        </w:tc>
        <w:tc>
          <w:tcPr>
            <w:tcW w:w="1218" w:type="dxa"/>
            <w:tcBorders>
              <w:top w:val="nil"/>
              <w:left w:val="nil"/>
              <w:bottom w:val="single" w:sz="4" w:space="0" w:color="auto"/>
              <w:right w:val="nil"/>
            </w:tcBorders>
            <w:shd w:val="clear" w:color="auto" w:fill="auto"/>
            <w:hideMark/>
          </w:tcPr>
          <w:p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0.001</w:t>
            </w:r>
            <w:r w:rsidR="007D15FE">
              <w:rPr>
                <w:rFonts w:ascii="Calibri" w:eastAsia="Times New Roman" w:hAnsi="Calibri" w:cs="Calibri"/>
                <w:sz w:val="22"/>
                <w:szCs w:val="22"/>
                <w:lang w:eastAsia="en-GB"/>
              </w:rPr>
              <w:t>%</w:t>
            </w:r>
          </w:p>
        </w:tc>
        <w:tc>
          <w:tcPr>
            <w:tcW w:w="1350" w:type="dxa"/>
            <w:tcBorders>
              <w:top w:val="nil"/>
              <w:left w:val="single" w:sz="8" w:space="0" w:color="auto"/>
              <w:bottom w:val="single" w:sz="4" w:space="0" w:color="auto"/>
              <w:right w:val="single" w:sz="8" w:space="0" w:color="auto"/>
            </w:tcBorders>
            <w:shd w:val="clear" w:color="auto" w:fill="FF0000"/>
            <w:hideMark/>
          </w:tcPr>
          <w:p w:rsidR="009D6B97" w:rsidRPr="009D6B97" w:rsidRDefault="007D15FE" w:rsidP="009D6B97">
            <w:pPr>
              <w:jc w:val="center"/>
              <w:rPr>
                <w:rFonts w:ascii="Calibri" w:eastAsia="Times New Roman" w:hAnsi="Calibri" w:cs="Calibri"/>
                <w:sz w:val="22"/>
                <w:szCs w:val="22"/>
                <w:lang w:eastAsia="en-GB"/>
              </w:rPr>
            </w:pPr>
            <w:r w:rsidRPr="007D15FE">
              <w:rPr>
                <w:rFonts w:ascii="Calibri" w:eastAsia="Times New Roman" w:hAnsi="Calibri" w:cs="Calibri"/>
                <w:color w:val="FFFFFF" w:themeColor="background1"/>
                <w:sz w:val="22"/>
                <w:szCs w:val="22"/>
                <w:lang w:eastAsia="en-GB"/>
              </w:rPr>
              <w:t>-0.01</w:t>
            </w:r>
            <w:r w:rsidR="00F54F2A">
              <w:rPr>
                <w:rFonts w:ascii="Calibri" w:eastAsia="Times New Roman" w:hAnsi="Calibri" w:cs="Calibri"/>
                <w:color w:val="FFFFFF" w:themeColor="background1"/>
                <w:sz w:val="22"/>
                <w:szCs w:val="22"/>
                <w:lang w:eastAsia="en-GB"/>
              </w:rPr>
              <w:t>23</w:t>
            </w:r>
            <w:r>
              <w:rPr>
                <w:rFonts w:ascii="Calibri" w:eastAsia="Times New Roman" w:hAnsi="Calibri" w:cs="Calibri"/>
                <w:color w:val="FFFFFF" w:themeColor="background1"/>
                <w:sz w:val="22"/>
                <w:szCs w:val="22"/>
                <w:lang w:eastAsia="en-GB"/>
              </w:rPr>
              <w:t>%</w:t>
            </w:r>
          </w:p>
        </w:tc>
        <w:tc>
          <w:tcPr>
            <w:tcW w:w="6379" w:type="dxa"/>
            <w:tcBorders>
              <w:top w:val="nil"/>
              <w:left w:val="nil"/>
              <w:bottom w:val="single" w:sz="4" w:space="0" w:color="auto"/>
              <w:right w:val="single" w:sz="8" w:space="0" w:color="auto"/>
            </w:tcBorders>
            <w:shd w:val="clear" w:color="auto" w:fill="auto"/>
            <w:hideMark/>
          </w:tcPr>
          <w:p w:rsidR="009D6B97" w:rsidRPr="009D6B97" w:rsidRDefault="00F54F2A" w:rsidP="00F54F2A">
            <w:pPr>
              <w:rPr>
                <w:rFonts w:ascii="Calibri" w:eastAsia="Times New Roman" w:hAnsi="Calibri" w:cs="Calibri"/>
                <w:sz w:val="22"/>
                <w:szCs w:val="22"/>
                <w:lang w:eastAsia="en-GB"/>
              </w:rPr>
            </w:pPr>
            <w:r w:rsidRPr="00F54F2A">
              <w:rPr>
                <w:rFonts w:ascii="Calibri" w:eastAsia="Times New Roman" w:hAnsi="Calibri" w:cs="Calibri"/>
                <w:sz w:val="22"/>
                <w:szCs w:val="22"/>
                <w:lang w:eastAsia="en-GB"/>
              </w:rPr>
              <w:t xml:space="preserve">The majority Council funds are invested over a set term at the interest rates that are prevalent at the time.  When interest rates rise, the interest received on investments tends to lag behind the base rate and when interest rates fall, the converse tends to be true.  Therefore it is expected in a rising interest rate market, returns will be lower </w:t>
            </w:r>
            <w:r w:rsidR="00B34F03" w:rsidRPr="00F54F2A">
              <w:rPr>
                <w:rFonts w:ascii="Calibri" w:eastAsia="Times New Roman" w:hAnsi="Calibri" w:cs="Calibri"/>
                <w:sz w:val="22"/>
                <w:szCs w:val="22"/>
                <w:lang w:eastAsia="en-GB"/>
              </w:rPr>
              <w:t>than</w:t>
            </w:r>
            <w:r w:rsidRPr="00F54F2A">
              <w:rPr>
                <w:rFonts w:ascii="Calibri" w:eastAsia="Times New Roman" w:hAnsi="Calibri" w:cs="Calibri"/>
                <w:sz w:val="22"/>
                <w:szCs w:val="22"/>
                <w:lang w:eastAsia="en-GB"/>
              </w:rPr>
              <w:t xml:space="preserve"> the current interest rate.</w:t>
            </w:r>
          </w:p>
        </w:tc>
      </w:tr>
      <w:tr w:rsidR="009D6B97" w:rsidRPr="009D6B97" w:rsidTr="00F54F2A">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FN034</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Trading Income</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Scott Warner</w:t>
            </w:r>
          </w:p>
        </w:tc>
        <w:tc>
          <w:tcPr>
            <w:tcW w:w="1218" w:type="dxa"/>
            <w:tcBorders>
              <w:top w:val="nil"/>
              <w:left w:val="single" w:sz="8" w:space="0" w:color="auto"/>
              <w:bottom w:val="single" w:sz="4" w:space="0" w:color="auto"/>
              <w:right w:val="single" w:sz="8" w:space="0" w:color="auto"/>
            </w:tcBorders>
            <w:shd w:val="clear" w:color="auto" w:fill="auto"/>
            <w:hideMark/>
          </w:tcPr>
          <w:p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£220,000</w:t>
            </w:r>
          </w:p>
        </w:tc>
        <w:tc>
          <w:tcPr>
            <w:tcW w:w="1218" w:type="dxa"/>
            <w:tcBorders>
              <w:top w:val="nil"/>
              <w:left w:val="nil"/>
              <w:bottom w:val="single" w:sz="4" w:space="0" w:color="auto"/>
              <w:right w:val="nil"/>
            </w:tcBorders>
            <w:shd w:val="clear" w:color="auto" w:fill="auto"/>
            <w:hideMark/>
          </w:tcPr>
          <w:p w:rsidR="009D6B97" w:rsidRPr="009D6B97" w:rsidRDefault="008F56D7" w:rsidP="00485ED0">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w:t>
            </w:r>
            <w:r w:rsidR="00F54F2A">
              <w:rPr>
                <w:rFonts w:ascii="Calibri" w:eastAsia="Times New Roman" w:hAnsi="Calibri" w:cs="Calibri"/>
                <w:sz w:val="22"/>
                <w:szCs w:val="22"/>
                <w:lang w:eastAsia="en-GB"/>
              </w:rPr>
              <w:t>54,999</w:t>
            </w:r>
          </w:p>
        </w:tc>
        <w:tc>
          <w:tcPr>
            <w:tcW w:w="1350" w:type="dxa"/>
            <w:tcBorders>
              <w:top w:val="nil"/>
              <w:left w:val="single" w:sz="8" w:space="0" w:color="auto"/>
              <w:bottom w:val="single" w:sz="4" w:space="0" w:color="auto"/>
              <w:right w:val="single" w:sz="8" w:space="0" w:color="auto"/>
            </w:tcBorders>
            <w:shd w:val="clear" w:color="auto" w:fill="FF0000"/>
            <w:hideMark/>
          </w:tcPr>
          <w:p w:rsidR="009D6B97" w:rsidRPr="009D6B97" w:rsidRDefault="007D15FE" w:rsidP="00F54F2A">
            <w:pPr>
              <w:jc w:val="center"/>
              <w:rPr>
                <w:rFonts w:ascii="Calibri" w:eastAsia="Times New Roman" w:hAnsi="Calibri" w:cs="Calibri"/>
                <w:sz w:val="22"/>
                <w:szCs w:val="22"/>
                <w:lang w:eastAsia="en-GB"/>
              </w:rPr>
            </w:pPr>
            <w:r w:rsidRPr="00F54F2A">
              <w:rPr>
                <w:rFonts w:ascii="Calibri" w:eastAsia="Times New Roman" w:hAnsi="Calibri" w:cs="Calibri"/>
                <w:color w:val="FFFFFF" w:themeColor="background1"/>
                <w:sz w:val="22"/>
                <w:szCs w:val="22"/>
                <w:lang w:eastAsia="en-GB"/>
              </w:rPr>
              <w:t>£</w:t>
            </w:r>
            <w:r w:rsidR="00F54F2A" w:rsidRPr="00F54F2A">
              <w:rPr>
                <w:rFonts w:ascii="Calibri" w:eastAsia="Times New Roman" w:hAnsi="Calibri" w:cs="Calibri"/>
                <w:color w:val="FFFFFF" w:themeColor="background1"/>
                <w:sz w:val="22"/>
                <w:szCs w:val="22"/>
                <w:lang w:eastAsia="en-GB"/>
              </w:rPr>
              <w:t>30,949</w:t>
            </w:r>
          </w:p>
        </w:tc>
        <w:tc>
          <w:tcPr>
            <w:tcW w:w="6379" w:type="dxa"/>
            <w:tcBorders>
              <w:top w:val="nil"/>
              <w:left w:val="nil"/>
              <w:bottom w:val="single" w:sz="4" w:space="0" w:color="auto"/>
              <w:right w:val="single" w:sz="8" w:space="0" w:color="auto"/>
            </w:tcBorders>
            <w:shd w:val="clear" w:color="auto" w:fill="auto"/>
          </w:tcPr>
          <w:p w:rsidR="009D6B97" w:rsidRPr="009D6B97" w:rsidRDefault="009D6B97" w:rsidP="009D6B97">
            <w:pPr>
              <w:rPr>
                <w:rFonts w:ascii="Calibri" w:eastAsia="Times New Roman" w:hAnsi="Calibri" w:cs="Calibri"/>
                <w:sz w:val="22"/>
                <w:szCs w:val="22"/>
                <w:lang w:eastAsia="en-GB"/>
              </w:rPr>
            </w:pPr>
          </w:p>
        </w:tc>
      </w:tr>
      <w:tr w:rsidR="009D6B97" w:rsidRPr="009D6B97" w:rsidTr="00F54F2A">
        <w:trPr>
          <w:trHeight w:val="580"/>
        </w:trPr>
        <w:tc>
          <w:tcPr>
            <w:tcW w:w="1276" w:type="dxa"/>
            <w:tcBorders>
              <w:top w:val="nil"/>
              <w:left w:val="single" w:sz="8" w:space="0" w:color="auto"/>
              <w:bottom w:val="single" w:sz="4" w:space="0" w:color="auto"/>
              <w:right w:val="nil"/>
            </w:tcBorders>
            <w:shd w:val="clear" w:color="auto" w:fill="auto"/>
            <w:noWrap/>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FN036</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Fraud Losses Prevented</w:t>
            </w:r>
          </w:p>
        </w:tc>
        <w:tc>
          <w:tcPr>
            <w:tcW w:w="1276" w:type="dxa"/>
            <w:tcBorders>
              <w:top w:val="nil"/>
              <w:left w:val="nil"/>
              <w:bottom w:val="single" w:sz="4" w:space="0" w:color="auto"/>
              <w:right w:val="nil"/>
            </w:tcBorders>
            <w:shd w:val="clear" w:color="auto" w:fill="auto"/>
            <w:hideMark/>
          </w:tcPr>
          <w:p w:rsidR="009D6B97" w:rsidRPr="009D6B97" w:rsidRDefault="009D6B97" w:rsidP="009D6B9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Scott Warner</w:t>
            </w:r>
          </w:p>
        </w:tc>
        <w:tc>
          <w:tcPr>
            <w:tcW w:w="1218" w:type="dxa"/>
            <w:tcBorders>
              <w:top w:val="nil"/>
              <w:left w:val="single" w:sz="8" w:space="0" w:color="auto"/>
              <w:bottom w:val="single" w:sz="4" w:space="0" w:color="auto"/>
              <w:right w:val="single" w:sz="8" w:space="0" w:color="auto"/>
            </w:tcBorders>
            <w:shd w:val="clear" w:color="auto" w:fill="auto"/>
            <w:hideMark/>
          </w:tcPr>
          <w:p w:rsidR="009D6B97" w:rsidRPr="009D6B97" w:rsidRDefault="00F54F2A"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£2200000</w:t>
            </w:r>
          </w:p>
        </w:tc>
        <w:tc>
          <w:tcPr>
            <w:tcW w:w="1218" w:type="dxa"/>
            <w:tcBorders>
              <w:top w:val="nil"/>
              <w:left w:val="nil"/>
              <w:bottom w:val="single" w:sz="4" w:space="0" w:color="auto"/>
              <w:right w:val="nil"/>
            </w:tcBorders>
            <w:shd w:val="clear" w:color="auto" w:fill="auto"/>
            <w:hideMark/>
          </w:tcPr>
          <w:p w:rsidR="009D6B97" w:rsidRPr="009D6B97" w:rsidRDefault="00F54F2A" w:rsidP="00485ED0">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£550,000</w:t>
            </w:r>
          </w:p>
        </w:tc>
        <w:tc>
          <w:tcPr>
            <w:tcW w:w="1350" w:type="dxa"/>
            <w:tcBorders>
              <w:top w:val="nil"/>
              <w:left w:val="single" w:sz="8" w:space="0" w:color="auto"/>
              <w:bottom w:val="single" w:sz="4" w:space="0" w:color="auto"/>
              <w:right w:val="single" w:sz="8" w:space="0" w:color="auto"/>
            </w:tcBorders>
            <w:shd w:val="clear" w:color="auto" w:fill="FF0000"/>
            <w:hideMark/>
          </w:tcPr>
          <w:p w:rsidR="009D6B97" w:rsidRPr="00F54F2A" w:rsidRDefault="007D15FE" w:rsidP="00F54F2A">
            <w:pPr>
              <w:jc w:val="center"/>
              <w:rPr>
                <w:rFonts w:ascii="Calibri" w:eastAsia="Times New Roman" w:hAnsi="Calibri" w:cs="Calibri"/>
                <w:color w:val="FFFFFF" w:themeColor="background1"/>
                <w:sz w:val="22"/>
                <w:szCs w:val="22"/>
                <w:lang w:eastAsia="en-GB"/>
              </w:rPr>
            </w:pPr>
            <w:r w:rsidRPr="00F54F2A">
              <w:rPr>
                <w:rFonts w:ascii="Calibri" w:eastAsia="Times New Roman" w:hAnsi="Calibri" w:cs="Calibri"/>
                <w:color w:val="FFFFFF" w:themeColor="background1"/>
                <w:sz w:val="22"/>
                <w:szCs w:val="22"/>
                <w:lang w:eastAsia="en-GB"/>
              </w:rPr>
              <w:t>£</w:t>
            </w:r>
            <w:r w:rsidR="00F54F2A" w:rsidRPr="00F54F2A">
              <w:rPr>
                <w:rFonts w:ascii="Calibri" w:eastAsia="Times New Roman" w:hAnsi="Calibri" w:cs="Calibri"/>
                <w:color w:val="FFFFFF" w:themeColor="background1"/>
                <w:sz w:val="22"/>
                <w:szCs w:val="22"/>
                <w:lang w:eastAsia="en-GB"/>
              </w:rPr>
              <w:t>341,129</w:t>
            </w:r>
          </w:p>
        </w:tc>
        <w:tc>
          <w:tcPr>
            <w:tcW w:w="6379" w:type="dxa"/>
            <w:tcBorders>
              <w:top w:val="nil"/>
              <w:left w:val="nil"/>
              <w:bottom w:val="single" w:sz="4" w:space="0" w:color="auto"/>
              <w:right w:val="single" w:sz="8" w:space="0" w:color="auto"/>
            </w:tcBorders>
            <w:shd w:val="clear" w:color="auto" w:fill="auto"/>
          </w:tcPr>
          <w:p w:rsidR="009D6B97" w:rsidRPr="009D6B97" w:rsidRDefault="009D6B97" w:rsidP="009D6B97">
            <w:pPr>
              <w:rPr>
                <w:rFonts w:ascii="Calibri" w:eastAsia="Times New Roman" w:hAnsi="Calibri" w:cs="Calibri"/>
                <w:sz w:val="22"/>
                <w:szCs w:val="22"/>
                <w:lang w:eastAsia="en-GB"/>
              </w:rPr>
            </w:pPr>
          </w:p>
        </w:tc>
      </w:tr>
      <w:tr w:rsidR="009D6B97" w:rsidRPr="009D6B97" w:rsidTr="00CE6277">
        <w:trPr>
          <w:trHeight w:val="694"/>
        </w:trPr>
        <w:tc>
          <w:tcPr>
            <w:tcW w:w="1276" w:type="dxa"/>
            <w:tcBorders>
              <w:top w:val="nil"/>
              <w:left w:val="single" w:sz="8" w:space="0" w:color="auto"/>
              <w:bottom w:val="single" w:sz="4" w:space="0" w:color="auto"/>
              <w:right w:val="nil"/>
            </w:tcBorders>
            <w:shd w:val="clear" w:color="auto" w:fill="auto"/>
            <w:noWrap/>
            <w:hideMark/>
          </w:tcPr>
          <w:p w:rsidR="009D6B97" w:rsidRPr="00B34F03" w:rsidRDefault="009D6B97" w:rsidP="009D6B97">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FN052</w:t>
            </w:r>
          </w:p>
        </w:tc>
        <w:tc>
          <w:tcPr>
            <w:tcW w:w="3119" w:type="dxa"/>
            <w:tcBorders>
              <w:top w:val="nil"/>
              <w:left w:val="single" w:sz="8" w:space="0" w:color="auto"/>
              <w:bottom w:val="single" w:sz="4" w:space="0" w:color="auto"/>
              <w:right w:val="single" w:sz="8" w:space="0" w:color="auto"/>
            </w:tcBorders>
            <w:shd w:val="clear" w:color="auto" w:fill="auto"/>
            <w:hideMark/>
          </w:tcPr>
          <w:p w:rsidR="009D6B97" w:rsidRPr="00B34F03" w:rsidRDefault="009D6B97" w:rsidP="009D6B97">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Percentage of Council spend with SME's</w:t>
            </w:r>
          </w:p>
        </w:tc>
        <w:tc>
          <w:tcPr>
            <w:tcW w:w="1276" w:type="dxa"/>
            <w:tcBorders>
              <w:top w:val="nil"/>
              <w:left w:val="nil"/>
              <w:bottom w:val="single" w:sz="4" w:space="0" w:color="auto"/>
              <w:right w:val="nil"/>
            </w:tcBorders>
            <w:shd w:val="clear" w:color="auto" w:fill="auto"/>
            <w:hideMark/>
          </w:tcPr>
          <w:p w:rsidR="009D6B97" w:rsidRPr="00B34F03" w:rsidRDefault="009D6B97" w:rsidP="009D6B97">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Annette Osborne</w:t>
            </w:r>
          </w:p>
        </w:tc>
        <w:tc>
          <w:tcPr>
            <w:tcW w:w="1218" w:type="dxa"/>
            <w:tcBorders>
              <w:top w:val="nil"/>
              <w:left w:val="single" w:sz="8" w:space="0" w:color="auto"/>
              <w:bottom w:val="single" w:sz="4" w:space="0" w:color="auto"/>
              <w:right w:val="single" w:sz="8" w:space="0" w:color="auto"/>
            </w:tcBorders>
            <w:shd w:val="clear" w:color="auto" w:fill="auto"/>
            <w:hideMark/>
          </w:tcPr>
          <w:p w:rsidR="009D6B97" w:rsidRPr="00B34F03" w:rsidRDefault="00CE6277" w:rsidP="009D6B97">
            <w:pPr>
              <w:jc w:val="cente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53.97%</w:t>
            </w:r>
          </w:p>
        </w:tc>
        <w:tc>
          <w:tcPr>
            <w:tcW w:w="1218" w:type="dxa"/>
            <w:tcBorders>
              <w:top w:val="nil"/>
              <w:left w:val="nil"/>
              <w:bottom w:val="single" w:sz="4" w:space="0" w:color="auto"/>
              <w:right w:val="nil"/>
            </w:tcBorders>
            <w:shd w:val="clear" w:color="auto" w:fill="auto"/>
            <w:hideMark/>
          </w:tcPr>
          <w:p w:rsidR="009D6B97" w:rsidRPr="00B34F03" w:rsidRDefault="00B62CF8" w:rsidP="009D6B97">
            <w:pPr>
              <w:jc w:val="cente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35</w:t>
            </w:r>
          </w:p>
        </w:tc>
        <w:tc>
          <w:tcPr>
            <w:tcW w:w="1350" w:type="dxa"/>
            <w:tcBorders>
              <w:top w:val="nil"/>
              <w:left w:val="single" w:sz="8" w:space="0" w:color="auto"/>
              <w:bottom w:val="single" w:sz="4" w:space="0" w:color="auto"/>
              <w:right w:val="single" w:sz="8" w:space="0" w:color="auto"/>
            </w:tcBorders>
            <w:shd w:val="clear" w:color="auto" w:fill="FF0000"/>
            <w:hideMark/>
          </w:tcPr>
          <w:p w:rsidR="009D6B97" w:rsidRPr="00B34F03" w:rsidRDefault="007D15FE" w:rsidP="009D6B97">
            <w:pPr>
              <w:jc w:val="center"/>
              <w:rPr>
                <w:rFonts w:ascii="Calibri" w:eastAsia="Times New Roman" w:hAnsi="Calibri" w:cs="Calibri"/>
                <w:sz w:val="22"/>
                <w:szCs w:val="22"/>
                <w:lang w:eastAsia="en-GB"/>
              </w:rPr>
            </w:pPr>
            <w:r w:rsidRPr="00B34F03">
              <w:rPr>
                <w:rFonts w:ascii="Calibri" w:eastAsia="Times New Roman" w:hAnsi="Calibri" w:cs="Calibri"/>
                <w:color w:val="FFFFFF" w:themeColor="background1"/>
                <w:sz w:val="22"/>
                <w:szCs w:val="22"/>
                <w:lang w:eastAsia="en-GB"/>
              </w:rPr>
              <w:t>26.68</w:t>
            </w:r>
          </w:p>
        </w:tc>
        <w:tc>
          <w:tcPr>
            <w:tcW w:w="6379" w:type="dxa"/>
            <w:tcBorders>
              <w:top w:val="nil"/>
              <w:left w:val="nil"/>
              <w:bottom w:val="single" w:sz="4" w:space="0" w:color="auto"/>
              <w:right w:val="single" w:sz="8" w:space="0" w:color="auto"/>
            </w:tcBorders>
            <w:shd w:val="clear" w:color="auto" w:fill="auto"/>
          </w:tcPr>
          <w:p w:rsidR="009D6B97" w:rsidRPr="009D6B97" w:rsidRDefault="007D15FE" w:rsidP="009D6B97">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OCC has fallen short of the end of year target by 4% - this figure includes payments to ODS and OCHL.  Neither can be classed as an SME however a great deal of the spend from ODS is spent with SME’s and this is reflected in the increase of SME</w:t>
            </w:r>
            <w:r w:rsidR="00846DE5" w:rsidRPr="00B34F03">
              <w:rPr>
                <w:rFonts w:ascii="Calibri" w:eastAsia="Times New Roman" w:hAnsi="Calibri" w:cs="Calibri"/>
                <w:sz w:val="22"/>
                <w:szCs w:val="22"/>
                <w:lang w:eastAsia="en-GB"/>
              </w:rPr>
              <w:t xml:space="preserve"> spend when ODS and OCH </w:t>
            </w:r>
            <w:r w:rsidRPr="00B34F03">
              <w:rPr>
                <w:rFonts w:ascii="Calibri" w:eastAsia="Times New Roman" w:hAnsi="Calibri" w:cs="Calibri"/>
                <w:sz w:val="22"/>
                <w:szCs w:val="22"/>
                <w:lang w:eastAsia="en-GB"/>
              </w:rPr>
              <w:t>are excluded (FN052a)  – the % figure increases to 62.66%.</w:t>
            </w:r>
          </w:p>
        </w:tc>
      </w:tr>
      <w:tr w:rsidR="009D6B97" w:rsidRPr="009D6B97" w:rsidTr="00924606">
        <w:trPr>
          <w:trHeight w:val="680"/>
        </w:trPr>
        <w:tc>
          <w:tcPr>
            <w:tcW w:w="1276" w:type="dxa"/>
            <w:tcBorders>
              <w:top w:val="nil"/>
              <w:left w:val="single" w:sz="8" w:space="0" w:color="auto"/>
              <w:bottom w:val="single" w:sz="4" w:space="0" w:color="auto"/>
              <w:right w:val="nil"/>
            </w:tcBorders>
            <w:shd w:val="clear" w:color="auto" w:fill="auto"/>
            <w:noWrap/>
            <w:vAlign w:val="center"/>
            <w:hideMark/>
          </w:tcPr>
          <w:p w:rsidR="009D6B97" w:rsidRPr="00924606" w:rsidRDefault="009D6B97" w:rsidP="009D6B9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lastRenderedPageBreak/>
              <w:t>FSC019a</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9D6B97" w:rsidRPr="00924606" w:rsidRDefault="009D6B97" w:rsidP="009D6B9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Total income collection as % of plan (Council Tax)</w:t>
            </w:r>
          </w:p>
        </w:tc>
        <w:tc>
          <w:tcPr>
            <w:tcW w:w="1276" w:type="dxa"/>
            <w:tcBorders>
              <w:top w:val="nil"/>
              <w:left w:val="nil"/>
              <w:bottom w:val="single" w:sz="4" w:space="0" w:color="auto"/>
              <w:right w:val="nil"/>
            </w:tcBorders>
            <w:shd w:val="clear" w:color="auto" w:fill="auto"/>
            <w:vAlign w:val="center"/>
            <w:hideMark/>
          </w:tcPr>
          <w:p w:rsidR="009D6B97" w:rsidRPr="00924606" w:rsidRDefault="009D6B97" w:rsidP="009D6B9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rsidR="009D6B97" w:rsidRPr="00924606" w:rsidRDefault="00924606" w:rsidP="009D6B9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96.5%</w:t>
            </w:r>
          </w:p>
        </w:tc>
        <w:tc>
          <w:tcPr>
            <w:tcW w:w="1218" w:type="dxa"/>
            <w:tcBorders>
              <w:top w:val="nil"/>
              <w:left w:val="nil"/>
              <w:bottom w:val="single" w:sz="4" w:space="0" w:color="auto"/>
              <w:right w:val="nil"/>
            </w:tcBorders>
            <w:shd w:val="clear" w:color="auto" w:fill="auto"/>
            <w:noWrap/>
            <w:vAlign w:val="center"/>
            <w:hideMark/>
          </w:tcPr>
          <w:p w:rsidR="009D6B97" w:rsidRPr="00924606" w:rsidRDefault="00924606" w:rsidP="009D6B97">
            <w:pPr>
              <w:jc w:val="cente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29.5%</w:t>
            </w:r>
          </w:p>
        </w:tc>
        <w:tc>
          <w:tcPr>
            <w:tcW w:w="1350" w:type="dxa"/>
            <w:tcBorders>
              <w:top w:val="nil"/>
              <w:left w:val="single" w:sz="8" w:space="0" w:color="auto"/>
              <w:bottom w:val="single" w:sz="4" w:space="0" w:color="auto"/>
              <w:right w:val="single" w:sz="8" w:space="0" w:color="auto"/>
            </w:tcBorders>
            <w:shd w:val="clear" w:color="auto" w:fill="00B050"/>
            <w:vAlign w:val="center"/>
            <w:hideMark/>
          </w:tcPr>
          <w:p w:rsidR="009D6B97" w:rsidRPr="00924606" w:rsidRDefault="00924606" w:rsidP="009D6B97">
            <w:pPr>
              <w:jc w:val="cente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29.94%</w:t>
            </w:r>
          </w:p>
        </w:tc>
        <w:tc>
          <w:tcPr>
            <w:tcW w:w="6379" w:type="dxa"/>
            <w:tcBorders>
              <w:top w:val="nil"/>
              <w:left w:val="nil"/>
              <w:bottom w:val="single" w:sz="4" w:space="0" w:color="auto"/>
              <w:right w:val="single" w:sz="8" w:space="0" w:color="auto"/>
            </w:tcBorders>
            <w:shd w:val="clear" w:color="auto" w:fill="auto"/>
          </w:tcPr>
          <w:p w:rsidR="00E508F8" w:rsidRPr="009D6B97" w:rsidRDefault="00DE0C6E" w:rsidP="00176585">
            <w:pPr>
              <w:rPr>
                <w:rFonts w:ascii="Calibri" w:eastAsia="Times New Roman" w:hAnsi="Calibri" w:cs="Calibri"/>
                <w:sz w:val="22"/>
                <w:szCs w:val="22"/>
                <w:lang w:eastAsia="en-GB"/>
              </w:rPr>
            </w:pPr>
            <w:r w:rsidRPr="0005475A">
              <w:rPr>
                <w:rFonts w:eastAsia="Times New Roman"/>
                <w:color w:val="000000"/>
                <w:sz w:val="20"/>
                <w:szCs w:val="20"/>
                <w:lang w:eastAsia="en-GB"/>
              </w:rPr>
              <w:t>Council Tax payments show above target, but they are still an area of concern, we are working hard to apply student exemptions to a number of accounts, and we are in discussion with housing as the Tax due for the vacant period on their stock has yet to be paid. </w:t>
            </w:r>
          </w:p>
        </w:tc>
      </w:tr>
      <w:tr w:rsidR="00DE0C6E" w:rsidRPr="009D6B97" w:rsidTr="00924606">
        <w:trPr>
          <w:trHeight w:val="740"/>
        </w:trPr>
        <w:tc>
          <w:tcPr>
            <w:tcW w:w="1276" w:type="dxa"/>
            <w:tcBorders>
              <w:top w:val="nil"/>
              <w:left w:val="single" w:sz="8" w:space="0" w:color="auto"/>
              <w:bottom w:val="single" w:sz="4" w:space="0" w:color="auto"/>
              <w:right w:val="nil"/>
            </w:tcBorders>
            <w:shd w:val="clear" w:color="auto" w:fill="auto"/>
            <w:noWrap/>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FSC019b</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Total income collection as % of plan (Business Rates)</w:t>
            </w:r>
          </w:p>
        </w:tc>
        <w:tc>
          <w:tcPr>
            <w:tcW w:w="1276" w:type="dxa"/>
            <w:tcBorders>
              <w:top w:val="nil"/>
              <w:left w:val="nil"/>
              <w:bottom w:val="single" w:sz="4" w:space="0" w:color="auto"/>
              <w:right w:val="nil"/>
            </w:tcBorders>
            <w:shd w:val="clear" w:color="auto" w:fill="auto"/>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rsidR="00DE0C6E" w:rsidRPr="00924606" w:rsidRDefault="00DE0C6E" w:rsidP="00DE0C6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95</w:t>
            </w:r>
            <w:r w:rsidRPr="00924606">
              <w:rPr>
                <w:rFonts w:ascii="Calibri" w:eastAsia="Times New Roman" w:hAnsi="Calibri" w:cs="Calibri"/>
                <w:sz w:val="22"/>
                <w:szCs w:val="22"/>
                <w:lang w:eastAsia="en-GB"/>
              </w:rPr>
              <w:t>%</w:t>
            </w:r>
          </w:p>
        </w:tc>
        <w:tc>
          <w:tcPr>
            <w:tcW w:w="1218" w:type="dxa"/>
            <w:tcBorders>
              <w:top w:val="nil"/>
              <w:left w:val="nil"/>
              <w:bottom w:val="single" w:sz="4" w:space="0" w:color="auto"/>
              <w:right w:val="nil"/>
            </w:tcBorders>
            <w:shd w:val="clear" w:color="auto" w:fill="auto"/>
            <w:noWrap/>
            <w:vAlign w:val="center"/>
            <w:hideMark/>
          </w:tcPr>
          <w:p w:rsidR="00DE0C6E" w:rsidRPr="00924606" w:rsidRDefault="00DE0C6E" w:rsidP="00DE0C6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27.5</w:t>
            </w:r>
            <w:r w:rsidRPr="00924606">
              <w:rPr>
                <w:rFonts w:ascii="Calibri" w:eastAsia="Times New Roman" w:hAnsi="Calibri" w:cs="Calibri"/>
                <w:sz w:val="22"/>
                <w:szCs w:val="22"/>
                <w:lang w:eastAsia="en-GB"/>
              </w:rPr>
              <w:t>%</w:t>
            </w:r>
          </w:p>
        </w:tc>
        <w:tc>
          <w:tcPr>
            <w:tcW w:w="1350" w:type="dxa"/>
            <w:tcBorders>
              <w:top w:val="nil"/>
              <w:left w:val="single" w:sz="8" w:space="0" w:color="auto"/>
              <w:bottom w:val="single" w:sz="4" w:space="0" w:color="auto"/>
              <w:right w:val="single" w:sz="8" w:space="0" w:color="auto"/>
            </w:tcBorders>
            <w:shd w:val="clear" w:color="auto" w:fill="FFC000"/>
            <w:vAlign w:val="center"/>
            <w:hideMark/>
          </w:tcPr>
          <w:p w:rsidR="00DE0C6E" w:rsidRPr="00924606" w:rsidRDefault="00DE0C6E" w:rsidP="00DE0C6E">
            <w:pPr>
              <w:jc w:val="cente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27.16%</w:t>
            </w:r>
          </w:p>
        </w:tc>
        <w:tc>
          <w:tcPr>
            <w:tcW w:w="6379" w:type="dxa"/>
            <w:tcBorders>
              <w:top w:val="nil"/>
              <w:left w:val="nil"/>
              <w:bottom w:val="single" w:sz="4" w:space="0" w:color="auto"/>
              <w:right w:val="single" w:sz="8" w:space="0" w:color="auto"/>
            </w:tcBorders>
            <w:shd w:val="clear" w:color="auto" w:fill="auto"/>
            <w:hideMark/>
          </w:tcPr>
          <w:p w:rsidR="00DE0C6E" w:rsidRPr="0005475A" w:rsidRDefault="00DE0C6E" w:rsidP="00DE0C6E">
            <w:pPr>
              <w:jc w:val="both"/>
              <w:textAlignment w:val="baseline"/>
              <w:rPr>
                <w:rFonts w:ascii="Segoe UI" w:eastAsia="Times New Roman" w:hAnsi="Segoe UI" w:cs="Segoe UI"/>
                <w:sz w:val="18"/>
                <w:szCs w:val="18"/>
                <w:lang w:eastAsia="en-GB"/>
              </w:rPr>
            </w:pPr>
            <w:r w:rsidRPr="0005475A">
              <w:rPr>
                <w:rFonts w:eastAsia="Times New Roman"/>
                <w:color w:val="000000"/>
                <w:sz w:val="20"/>
                <w:szCs w:val="20"/>
                <w:lang w:eastAsia="en-GB"/>
              </w:rPr>
              <w:t> </w:t>
            </w:r>
            <w:r w:rsidRPr="0005475A">
              <w:rPr>
                <w:rFonts w:eastAsia="Times New Roman"/>
                <w:color w:val="000000"/>
                <w:sz w:val="22"/>
                <w:szCs w:val="22"/>
                <w:lang w:eastAsia="en-GB"/>
              </w:rPr>
              <w:t>Collection for Business Rates is below the profiled monthly target. Business Rates is down by 3%. Work is underway with the Universities and the Commercial Rent team to have their accounts paid up to date. Further payments from a centralised process for schools is due to be allocated in July (change to the payment method from 2023 under new guidance) which has also affected the profiling of the monthly target.  </w:t>
            </w:r>
          </w:p>
        </w:tc>
      </w:tr>
      <w:tr w:rsidR="00DE0C6E" w:rsidRPr="009D6B97" w:rsidTr="002F5DF3">
        <w:trPr>
          <w:trHeight w:val="1160"/>
        </w:trPr>
        <w:tc>
          <w:tcPr>
            <w:tcW w:w="1276" w:type="dxa"/>
            <w:tcBorders>
              <w:top w:val="nil"/>
              <w:left w:val="single" w:sz="8" w:space="0" w:color="auto"/>
              <w:bottom w:val="single" w:sz="4" w:space="0" w:color="auto"/>
              <w:right w:val="nil"/>
            </w:tcBorders>
            <w:shd w:val="clear" w:color="auto" w:fill="auto"/>
            <w:noWrap/>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FSC020</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Discretionary funding won by the Council</w:t>
            </w:r>
          </w:p>
        </w:tc>
        <w:tc>
          <w:tcPr>
            <w:tcW w:w="1276" w:type="dxa"/>
            <w:tcBorders>
              <w:top w:val="nil"/>
              <w:left w:val="nil"/>
              <w:bottom w:val="single" w:sz="4" w:space="0" w:color="auto"/>
              <w:right w:val="nil"/>
            </w:tcBorders>
            <w:shd w:val="clear" w:color="auto" w:fill="auto"/>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Anna Winship, Nigel Kennedy</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rsidR="00DE0C6E" w:rsidRPr="00924606" w:rsidRDefault="00DE0C6E" w:rsidP="00DE0C6E">
            <w:pPr>
              <w:jc w:val="cente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Tracking indicator</w:t>
            </w:r>
          </w:p>
        </w:tc>
        <w:tc>
          <w:tcPr>
            <w:tcW w:w="1218" w:type="dxa"/>
            <w:tcBorders>
              <w:top w:val="nil"/>
              <w:left w:val="nil"/>
              <w:bottom w:val="single" w:sz="4" w:space="0" w:color="auto"/>
              <w:right w:val="nil"/>
            </w:tcBorders>
            <w:shd w:val="clear" w:color="auto" w:fill="auto"/>
            <w:noWrap/>
            <w:vAlign w:val="center"/>
            <w:hideMark/>
          </w:tcPr>
          <w:p w:rsidR="00DE0C6E" w:rsidRPr="002F5DF3" w:rsidRDefault="00DE0C6E" w:rsidP="00DE0C6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n/a</w:t>
            </w:r>
          </w:p>
        </w:tc>
        <w:tc>
          <w:tcPr>
            <w:tcW w:w="1350" w:type="dxa"/>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DE0C6E" w:rsidRPr="009D6B97" w:rsidRDefault="00DE0C6E" w:rsidP="00DE0C6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0</w:t>
            </w:r>
          </w:p>
        </w:tc>
        <w:tc>
          <w:tcPr>
            <w:tcW w:w="6379" w:type="dxa"/>
            <w:tcBorders>
              <w:top w:val="nil"/>
              <w:left w:val="nil"/>
              <w:bottom w:val="single" w:sz="4" w:space="0" w:color="auto"/>
              <w:right w:val="single" w:sz="8" w:space="0" w:color="auto"/>
            </w:tcBorders>
            <w:shd w:val="clear" w:color="auto" w:fill="auto"/>
            <w:vAlign w:val="center"/>
            <w:hideMark/>
          </w:tcPr>
          <w:p w:rsidR="00DE0C6E" w:rsidRPr="009D6B97" w:rsidRDefault="00DE0C6E" w:rsidP="00DE0C6E">
            <w:pPr>
              <w:rPr>
                <w:rFonts w:ascii="Calibri" w:eastAsia="Times New Roman" w:hAnsi="Calibri" w:cs="Calibri"/>
                <w:sz w:val="22"/>
                <w:szCs w:val="22"/>
                <w:lang w:eastAsia="en-GB"/>
              </w:rPr>
            </w:pPr>
            <w:r>
              <w:rPr>
                <w:rFonts w:ascii="Calibri" w:eastAsia="Times New Roman" w:hAnsi="Calibri" w:cs="Calibri"/>
                <w:sz w:val="22"/>
                <w:szCs w:val="22"/>
                <w:lang w:eastAsia="en-GB"/>
              </w:rPr>
              <w:t>N</w:t>
            </w:r>
            <w:r w:rsidRPr="00924606">
              <w:rPr>
                <w:rFonts w:ascii="Calibri" w:eastAsia="Times New Roman" w:hAnsi="Calibri" w:cs="Calibri"/>
                <w:sz w:val="22"/>
                <w:szCs w:val="22"/>
                <w:lang w:eastAsia="en-GB"/>
              </w:rPr>
              <w:t>o discretionary funding awarded so far this financial year</w:t>
            </w:r>
          </w:p>
        </w:tc>
      </w:tr>
      <w:tr w:rsidR="00DE0C6E" w:rsidRPr="009D6B97" w:rsidTr="00CE6277">
        <w:trPr>
          <w:trHeight w:val="870"/>
        </w:trPr>
        <w:tc>
          <w:tcPr>
            <w:tcW w:w="1276" w:type="dxa"/>
            <w:tcBorders>
              <w:top w:val="nil"/>
              <w:left w:val="single" w:sz="8" w:space="0" w:color="auto"/>
              <w:bottom w:val="single" w:sz="4" w:space="0" w:color="auto"/>
              <w:right w:val="nil"/>
            </w:tcBorders>
            <w:shd w:val="clear" w:color="auto" w:fill="auto"/>
            <w:noWrap/>
            <w:hideMark/>
          </w:tcPr>
          <w:p w:rsidR="00DE0C6E" w:rsidRPr="00B34F03" w:rsidRDefault="00DE0C6E" w:rsidP="00DE0C6E">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LG006</w:t>
            </w:r>
          </w:p>
        </w:tc>
        <w:tc>
          <w:tcPr>
            <w:tcW w:w="3119" w:type="dxa"/>
            <w:tcBorders>
              <w:top w:val="nil"/>
              <w:left w:val="single" w:sz="8" w:space="0" w:color="auto"/>
              <w:bottom w:val="single" w:sz="4" w:space="0" w:color="auto"/>
              <w:right w:val="single" w:sz="8" w:space="0" w:color="auto"/>
            </w:tcBorders>
            <w:shd w:val="clear" w:color="auto" w:fill="auto"/>
            <w:hideMark/>
          </w:tcPr>
          <w:p w:rsidR="00DE0C6E" w:rsidRPr="00B34F03" w:rsidRDefault="00DE0C6E" w:rsidP="00DE0C6E">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Percentage of missed Data Subject Action Request deadlines</w:t>
            </w:r>
          </w:p>
        </w:tc>
        <w:tc>
          <w:tcPr>
            <w:tcW w:w="1276" w:type="dxa"/>
            <w:tcBorders>
              <w:top w:val="nil"/>
              <w:left w:val="nil"/>
              <w:bottom w:val="single" w:sz="4" w:space="0" w:color="auto"/>
              <w:right w:val="nil"/>
            </w:tcBorders>
            <w:shd w:val="clear" w:color="auto" w:fill="auto"/>
            <w:hideMark/>
          </w:tcPr>
          <w:p w:rsidR="00DE0C6E" w:rsidRPr="00B34F03" w:rsidRDefault="00DE0C6E" w:rsidP="00DE0C6E">
            <w:pP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Grace Wigham</w:t>
            </w:r>
          </w:p>
        </w:tc>
        <w:tc>
          <w:tcPr>
            <w:tcW w:w="1218" w:type="dxa"/>
            <w:tcBorders>
              <w:top w:val="nil"/>
              <w:left w:val="single" w:sz="8" w:space="0" w:color="auto"/>
              <w:bottom w:val="single" w:sz="4" w:space="0" w:color="auto"/>
              <w:right w:val="single" w:sz="8" w:space="0" w:color="auto"/>
            </w:tcBorders>
            <w:shd w:val="clear" w:color="auto" w:fill="auto"/>
            <w:hideMark/>
          </w:tcPr>
          <w:p w:rsidR="00DE0C6E" w:rsidRPr="00B34F03" w:rsidRDefault="00DE0C6E" w:rsidP="00DE0C6E">
            <w:pPr>
              <w:jc w:val="cente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0%</w:t>
            </w:r>
          </w:p>
        </w:tc>
        <w:tc>
          <w:tcPr>
            <w:tcW w:w="1218" w:type="dxa"/>
            <w:tcBorders>
              <w:top w:val="nil"/>
              <w:left w:val="nil"/>
              <w:bottom w:val="single" w:sz="4" w:space="0" w:color="auto"/>
              <w:right w:val="nil"/>
            </w:tcBorders>
            <w:shd w:val="clear" w:color="auto" w:fill="auto"/>
            <w:hideMark/>
          </w:tcPr>
          <w:p w:rsidR="00DE0C6E" w:rsidRPr="00B34F03" w:rsidRDefault="00DE0C6E" w:rsidP="00DE0C6E">
            <w:pPr>
              <w:jc w:val="cente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5</w:t>
            </w:r>
          </w:p>
        </w:tc>
        <w:tc>
          <w:tcPr>
            <w:tcW w:w="1350" w:type="dxa"/>
            <w:tcBorders>
              <w:top w:val="nil"/>
              <w:left w:val="single" w:sz="8" w:space="0" w:color="auto"/>
              <w:bottom w:val="single" w:sz="4" w:space="0" w:color="auto"/>
              <w:right w:val="single" w:sz="8" w:space="0" w:color="auto"/>
            </w:tcBorders>
            <w:shd w:val="clear" w:color="auto" w:fill="00B050"/>
            <w:hideMark/>
          </w:tcPr>
          <w:p w:rsidR="00DE0C6E" w:rsidRPr="009D6B97" w:rsidRDefault="00DE0C6E" w:rsidP="00DE0C6E">
            <w:pPr>
              <w:jc w:val="center"/>
              <w:rPr>
                <w:rFonts w:ascii="Calibri" w:eastAsia="Times New Roman" w:hAnsi="Calibri" w:cs="Calibri"/>
                <w:sz w:val="22"/>
                <w:szCs w:val="22"/>
                <w:lang w:eastAsia="en-GB"/>
              </w:rPr>
            </w:pPr>
            <w:r w:rsidRPr="00B34F03">
              <w:rPr>
                <w:rFonts w:ascii="Calibri" w:eastAsia="Times New Roman" w:hAnsi="Calibri" w:cs="Calibri"/>
                <w:sz w:val="22"/>
                <w:szCs w:val="22"/>
                <w:lang w:eastAsia="en-GB"/>
              </w:rPr>
              <w:t>0</w:t>
            </w:r>
            <w:r w:rsidR="00B34F03" w:rsidRPr="00B34F03">
              <w:rPr>
                <w:rFonts w:ascii="Calibri" w:eastAsia="Times New Roman" w:hAnsi="Calibri" w:cs="Calibri"/>
                <w:sz w:val="22"/>
                <w:szCs w:val="22"/>
                <w:lang w:eastAsia="en-GB"/>
              </w:rPr>
              <w:t>%</w:t>
            </w:r>
          </w:p>
        </w:tc>
        <w:tc>
          <w:tcPr>
            <w:tcW w:w="6379" w:type="dxa"/>
            <w:tcBorders>
              <w:top w:val="nil"/>
              <w:left w:val="nil"/>
              <w:bottom w:val="single" w:sz="4" w:space="0" w:color="auto"/>
              <w:right w:val="single" w:sz="8" w:space="0" w:color="auto"/>
            </w:tcBorders>
            <w:shd w:val="clear" w:color="auto" w:fill="auto"/>
            <w:hideMark/>
          </w:tcPr>
          <w:p w:rsidR="00DE0C6E" w:rsidRPr="009D6B97" w:rsidRDefault="00DE0C6E" w:rsidP="00DE0C6E">
            <w:pPr>
              <w:rPr>
                <w:rFonts w:ascii="Calibri" w:eastAsia="Times New Roman" w:hAnsi="Calibri" w:cs="Calibri"/>
                <w:sz w:val="22"/>
                <w:szCs w:val="22"/>
                <w:lang w:eastAsia="en-GB"/>
              </w:rPr>
            </w:pPr>
          </w:p>
        </w:tc>
      </w:tr>
      <w:tr w:rsidR="00DE0C6E" w:rsidRPr="009D6B97" w:rsidTr="002F5DF3">
        <w:trPr>
          <w:trHeight w:val="290"/>
        </w:trPr>
        <w:tc>
          <w:tcPr>
            <w:tcW w:w="1276"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DE0C6E" w:rsidRPr="0008120E" w:rsidRDefault="00DE0C6E" w:rsidP="00DE0C6E">
            <w:pPr>
              <w:rPr>
                <w:rFonts w:ascii="Calibri" w:eastAsia="Times New Roman" w:hAnsi="Calibri" w:cs="Calibri"/>
                <w:sz w:val="22"/>
                <w:szCs w:val="22"/>
                <w:lang w:eastAsia="en-GB"/>
              </w:rPr>
            </w:pPr>
            <w:r w:rsidRPr="0008120E">
              <w:rPr>
                <w:rFonts w:ascii="Calibri" w:eastAsia="Times New Roman" w:hAnsi="Calibri" w:cs="Calibri"/>
                <w:sz w:val="22"/>
                <w:szCs w:val="22"/>
                <w:lang w:eastAsia="en-GB"/>
              </w:rPr>
              <w:t>REC002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DE0C6E" w:rsidRPr="0008120E" w:rsidRDefault="00DE0C6E" w:rsidP="00DE0C6E">
            <w:pPr>
              <w:rPr>
                <w:rFonts w:ascii="Calibri" w:eastAsia="Times New Roman" w:hAnsi="Calibri" w:cs="Calibri"/>
                <w:sz w:val="22"/>
                <w:szCs w:val="22"/>
                <w:lang w:eastAsia="en-GB"/>
              </w:rPr>
            </w:pPr>
            <w:r w:rsidRPr="0008120E">
              <w:rPr>
                <w:rFonts w:ascii="Calibri" w:eastAsia="Times New Roman" w:hAnsi="Calibri" w:cs="Calibri"/>
                <w:sz w:val="22"/>
                <w:szCs w:val="22"/>
                <w:lang w:eastAsia="en-GB"/>
              </w:rPr>
              <w:t>Number of Oxford Living Wage employers and employees</w:t>
            </w:r>
          </w:p>
        </w:tc>
        <w:tc>
          <w:tcPr>
            <w:tcW w:w="1276" w:type="dxa"/>
            <w:vMerge w:val="restart"/>
            <w:tcBorders>
              <w:top w:val="nil"/>
              <w:left w:val="nil"/>
              <w:bottom w:val="single" w:sz="4" w:space="0" w:color="auto"/>
              <w:right w:val="nil"/>
            </w:tcBorders>
            <w:shd w:val="clear" w:color="auto" w:fill="auto"/>
            <w:vAlign w:val="center"/>
            <w:hideMark/>
          </w:tcPr>
          <w:p w:rsidR="00DE0C6E" w:rsidRPr="0008120E" w:rsidRDefault="00DE0C6E" w:rsidP="00DE0C6E">
            <w:pPr>
              <w:rPr>
                <w:rFonts w:ascii="Calibri" w:eastAsia="Times New Roman" w:hAnsi="Calibri" w:cs="Calibri"/>
                <w:sz w:val="22"/>
                <w:szCs w:val="22"/>
                <w:lang w:eastAsia="en-GB"/>
              </w:rPr>
            </w:pPr>
            <w:r w:rsidRPr="0008120E">
              <w:rPr>
                <w:rFonts w:ascii="Calibri" w:eastAsia="Times New Roman" w:hAnsi="Calibri" w:cs="Calibri"/>
                <w:sz w:val="22"/>
                <w:szCs w:val="22"/>
                <w:lang w:eastAsia="en-GB"/>
              </w:rPr>
              <w:t>Carolyn Ploszynski</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rsidR="00DE0C6E" w:rsidRPr="0008120E" w:rsidRDefault="00AF5D47" w:rsidP="00DE0C6E">
            <w:pPr>
              <w:jc w:val="center"/>
              <w:rPr>
                <w:rFonts w:ascii="Calibri" w:eastAsia="Times New Roman" w:hAnsi="Calibri" w:cs="Calibri"/>
                <w:sz w:val="22"/>
                <w:szCs w:val="22"/>
                <w:lang w:eastAsia="en-GB"/>
              </w:rPr>
            </w:pPr>
            <w:r w:rsidRPr="0008120E">
              <w:rPr>
                <w:rFonts w:ascii="Calibri" w:eastAsia="Times New Roman" w:hAnsi="Calibri" w:cs="Calibri"/>
                <w:sz w:val="22"/>
                <w:szCs w:val="22"/>
                <w:lang w:eastAsia="en-GB"/>
              </w:rPr>
              <w:t>90</w:t>
            </w:r>
          </w:p>
        </w:tc>
        <w:tc>
          <w:tcPr>
            <w:tcW w:w="1218" w:type="dxa"/>
            <w:vMerge w:val="restart"/>
            <w:tcBorders>
              <w:top w:val="nil"/>
              <w:left w:val="nil"/>
              <w:bottom w:val="single" w:sz="4" w:space="0" w:color="auto"/>
              <w:right w:val="nil"/>
            </w:tcBorders>
            <w:shd w:val="clear" w:color="auto" w:fill="auto"/>
            <w:noWrap/>
            <w:vAlign w:val="center"/>
            <w:hideMark/>
          </w:tcPr>
          <w:p w:rsidR="00DE0C6E" w:rsidRPr="0008120E" w:rsidRDefault="00AF5D47" w:rsidP="00DE0C6E">
            <w:pPr>
              <w:jc w:val="center"/>
              <w:rPr>
                <w:rFonts w:ascii="Calibri" w:eastAsia="Times New Roman" w:hAnsi="Calibri" w:cs="Calibri"/>
                <w:sz w:val="22"/>
                <w:szCs w:val="22"/>
                <w:lang w:eastAsia="en-GB"/>
              </w:rPr>
            </w:pPr>
            <w:r w:rsidRPr="0008120E">
              <w:rPr>
                <w:rFonts w:ascii="Calibri" w:eastAsia="Times New Roman" w:hAnsi="Calibri" w:cs="Calibri"/>
                <w:sz w:val="22"/>
                <w:szCs w:val="22"/>
                <w:lang w:eastAsia="en-GB"/>
              </w:rPr>
              <w:t>TBC</w:t>
            </w:r>
          </w:p>
        </w:tc>
        <w:tc>
          <w:tcPr>
            <w:tcW w:w="1350" w:type="dxa"/>
            <w:vMerge w:val="restart"/>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DE0C6E" w:rsidRPr="0008120E" w:rsidRDefault="00DE0C6E" w:rsidP="00DE0C6E">
            <w:pPr>
              <w:jc w:val="center"/>
              <w:rPr>
                <w:rFonts w:ascii="Calibri" w:eastAsia="Times New Roman" w:hAnsi="Calibri" w:cs="Calibri"/>
                <w:sz w:val="22"/>
                <w:szCs w:val="22"/>
                <w:lang w:eastAsia="en-GB"/>
              </w:rPr>
            </w:pPr>
          </w:p>
        </w:tc>
        <w:tc>
          <w:tcPr>
            <w:tcW w:w="6379" w:type="dxa"/>
            <w:vMerge w:val="restart"/>
            <w:tcBorders>
              <w:top w:val="nil"/>
              <w:left w:val="nil"/>
              <w:bottom w:val="single" w:sz="4" w:space="0" w:color="auto"/>
              <w:right w:val="single" w:sz="8" w:space="0" w:color="auto"/>
            </w:tcBorders>
            <w:shd w:val="clear" w:color="auto" w:fill="auto"/>
            <w:vAlign w:val="center"/>
          </w:tcPr>
          <w:p w:rsidR="00DE0C6E" w:rsidRPr="009D6B97" w:rsidRDefault="00AF5D47" w:rsidP="00DE0C6E">
            <w:pPr>
              <w:rPr>
                <w:rFonts w:ascii="Calibri" w:eastAsia="Times New Roman" w:hAnsi="Calibri" w:cs="Calibri"/>
                <w:sz w:val="22"/>
                <w:szCs w:val="22"/>
                <w:lang w:eastAsia="en-GB"/>
              </w:rPr>
            </w:pPr>
            <w:r w:rsidRPr="0008120E">
              <w:rPr>
                <w:rFonts w:ascii="Calibri" w:eastAsia="Times New Roman" w:hAnsi="Calibri" w:cs="Calibri"/>
                <w:sz w:val="22"/>
                <w:szCs w:val="22"/>
                <w:lang w:eastAsia="en-GB"/>
              </w:rPr>
              <w:t>KPI Under Review</w:t>
            </w:r>
          </w:p>
        </w:tc>
      </w:tr>
      <w:tr w:rsidR="00DE0C6E" w:rsidRPr="009D6B97" w:rsidTr="002F5DF3">
        <w:trPr>
          <w:trHeight w:val="450"/>
        </w:trPr>
        <w:tc>
          <w:tcPr>
            <w:tcW w:w="1276" w:type="dxa"/>
            <w:vMerge/>
            <w:tcBorders>
              <w:top w:val="nil"/>
              <w:left w:val="single" w:sz="8" w:space="0" w:color="auto"/>
              <w:bottom w:val="single" w:sz="4" w:space="0" w:color="000000"/>
              <w:right w:val="single" w:sz="8" w:space="0" w:color="auto"/>
            </w:tcBorders>
            <w:vAlign w:val="center"/>
            <w:hideMark/>
          </w:tcPr>
          <w:p w:rsidR="00DE0C6E" w:rsidRPr="009D6B97" w:rsidRDefault="00DE0C6E" w:rsidP="00DE0C6E">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DE0C6E" w:rsidRPr="009D6B97" w:rsidRDefault="00DE0C6E" w:rsidP="00DE0C6E">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DE0C6E" w:rsidRPr="009D6B97" w:rsidRDefault="00DE0C6E" w:rsidP="00DE0C6E">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vAlign w:val="center"/>
            <w:hideMark/>
          </w:tcPr>
          <w:p w:rsidR="00DE0C6E" w:rsidRPr="009D6B97" w:rsidRDefault="00DE0C6E" w:rsidP="00DE0C6E">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vAlign w:val="center"/>
            <w:hideMark/>
          </w:tcPr>
          <w:p w:rsidR="00DE0C6E" w:rsidRPr="009D6B97" w:rsidRDefault="00DE0C6E" w:rsidP="00DE0C6E">
            <w:pPr>
              <w:rPr>
                <w:rFonts w:ascii="Calibri" w:eastAsia="Times New Roman" w:hAnsi="Calibri" w:cs="Calibri"/>
                <w:sz w:val="22"/>
                <w:szCs w:val="22"/>
                <w:lang w:eastAsia="en-GB"/>
              </w:rPr>
            </w:pPr>
          </w:p>
        </w:tc>
        <w:tc>
          <w:tcPr>
            <w:tcW w:w="1350" w:type="dxa"/>
            <w:vMerge/>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DE0C6E" w:rsidRPr="009D6B97" w:rsidRDefault="00DE0C6E" w:rsidP="00DE0C6E">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tcPr>
          <w:p w:rsidR="00DE0C6E" w:rsidRPr="009D6B97" w:rsidRDefault="00DE0C6E" w:rsidP="00DE0C6E">
            <w:pPr>
              <w:rPr>
                <w:rFonts w:ascii="Calibri" w:eastAsia="Times New Roman" w:hAnsi="Calibri" w:cs="Calibri"/>
                <w:sz w:val="22"/>
                <w:szCs w:val="22"/>
                <w:lang w:eastAsia="en-GB"/>
              </w:rPr>
            </w:pPr>
          </w:p>
        </w:tc>
      </w:tr>
      <w:tr w:rsidR="00DE0C6E" w:rsidRPr="009D6B97" w:rsidTr="00924606">
        <w:trPr>
          <w:trHeight w:val="1708"/>
        </w:trPr>
        <w:tc>
          <w:tcPr>
            <w:tcW w:w="1276" w:type="dxa"/>
            <w:vMerge w:val="restart"/>
            <w:tcBorders>
              <w:top w:val="nil"/>
              <w:left w:val="single" w:sz="8" w:space="0" w:color="auto"/>
              <w:bottom w:val="single" w:sz="4" w:space="0" w:color="auto"/>
              <w:right w:val="nil"/>
            </w:tcBorders>
            <w:shd w:val="clear" w:color="auto" w:fill="auto"/>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PSC022</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Provide a quarterly update on the five year housing delivery supply</w:t>
            </w:r>
          </w:p>
        </w:tc>
        <w:tc>
          <w:tcPr>
            <w:tcW w:w="1276" w:type="dxa"/>
            <w:vMerge w:val="restart"/>
            <w:tcBorders>
              <w:top w:val="nil"/>
              <w:left w:val="single" w:sz="8" w:space="0" w:color="auto"/>
              <w:bottom w:val="single" w:sz="4" w:space="0" w:color="000000"/>
              <w:right w:val="single" w:sz="8" w:space="0" w:color="auto"/>
            </w:tcBorders>
            <w:shd w:val="clear" w:color="auto" w:fill="auto"/>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Rachel Williams</w:t>
            </w:r>
          </w:p>
        </w:tc>
        <w:tc>
          <w:tcPr>
            <w:tcW w:w="1218" w:type="dxa"/>
            <w:vMerge w:val="restart"/>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DE0C6E" w:rsidRPr="00924606" w:rsidRDefault="00DE0C6E" w:rsidP="00DE0C6E">
            <w:pPr>
              <w:jc w:val="center"/>
              <w:rPr>
                <w:rFonts w:ascii="Calibri" w:eastAsia="Times New Roman" w:hAnsi="Calibri" w:cs="Calibri"/>
                <w:sz w:val="22"/>
                <w:szCs w:val="22"/>
                <w:lang w:eastAsia="en-GB"/>
              </w:rPr>
            </w:pPr>
          </w:p>
        </w:tc>
        <w:tc>
          <w:tcPr>
            <w:tcW w:w="1218" w:type="dxa"/>
            <w:vMerge w:val="restart"/>
            <w:tcBorders>
              <w:top w:val="nil"/>
              <w:left w:val="nil"/>
              <w:bottom w:val="single" w:sz="4" w:space="0" w:color="auto"/>
              <w:right w:val="nil"/>
            </w:tcBorders>
            <w:shd w:val="clear" w:color="auto" w:fill="BFBFBF" w:themeFill="background1" w:themeFillShade="BF"/>
            <w:vAlign w:val="center"/>
            <w:hideMark/>
          </w:tcPr>
          <w:p w:rsidR="00DE0C6E" w:rsidRPr="00924606" w:rsidRDefault="00DE0C6E" w:rsidP="00DE0C6E">
            <w:pPr>
              <w:jc w:val="center"/>
              <w:rPr>
                <w:rFonts w:ascii="Calibri" w:eastAsia="Times New Roman" w:hAnsi="Calibri" w:cs="Calibri"/>
                <w:sz w:val="22"/>
                <w:szCs w:val="22"/>
                <w:lang w:eastAsia="en-GB"/>
              </w:rPr>
            </w:pPr>
          </w:p>
        </w:tc>
        <w:tc>
          <w:tcPr>
            <w:tcW w:w="1350" w:type="dxa"/>
            <w:vMerge w:val="restart"/>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DE0C6E" w:rsidRPr="00924606" w:rsidRDefault="00DE0C6E" w:rsidP="00DE0C6E">
            <w:pPr>
              <w:jc w:val="center"/>
              <w:rPr>
                <w:rFonts w:ascii="Calibri" w:eastAsia="Times New Roman" w:hAnsi="Calibri" w:cs="Calibri"/>
                <w:sz w:val="22"/>
                <w:szCs w:val="22"/>
                <w:lang w:eastAsia="en-GB"/>
              </w:rPr>
            </w:pPr>
          </w:p>
        </w:tc>
        <w:tc>
          <w:tcPr>
            <w:tcW w:w="6379" w:type="dxa"/>
            <w:tcBorders>
              <w:top w:val="nil"/>
              <w:left w:val="nil"/>
              <w:right w:val="single" w:sz="8" w:space="0" w:color="auto"/>
            </w:tcBorders>
            <w:shd w:val="clear" w:color="auto" w:fill="auto"/>
            <w:vAlign w:val="center"/>
          </w:tcPr>
          <w:p w:rsidR="00DE0C6E" w:rsidRPr="00924606" w:rsidRDefault="00DE0C6E" w:rsidP="00DE0C6E">
            <w:pPr>
              <w:rPr>
                <w:rFonts w:ascii="Calibri" w:eastAsia="Times New Roman" w:hAnsi="Calibri" w:cs="Calibri"/>
                <w:sz w:val="22"/>
                <w:szCs w:val="22"/>
                <w:lang w:eastAsia="en-GB"/>
              </w:rPr>
            </w:pPr>
          </w:p>
        </w:tc>
      </w:tr>
      <w:tr w:rsidR="00DE0C6E" w:rsidRPr="009D6B97" w:rsidTr="00924606">
        <w:trPr>
          <w:trHeight w:val="50"/>
        </w:trPr>
        <w:tc>
          <w:tcPr>
            <w:tcW w:w="1276" w:type="dxa"/>
            <w:vMerge/>
            <w:tcBorders>
              <w:top w:val="nil"/>
              <w:left w:val="single" w:sz="8" w:space="0" w:color="auto"/>
              <w:bottom w:val="single" w:sz="4" w:space="0" w:color="auto"/>
              <w:right w:val="nil"/>
            </w:tcBorders>
            <w:vAlign w:val="center"/>
            <w:hideMark/>
          </w:tcPr>
          <w:p w:rsidR="00DE0C6E" w:rsidRPr="009D6B97" w:rsidRDefault="00DE0C6E" w:rsidP="00DE0C6E">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DE0C6E" w:rsidRPr="009D6B97" w:rsidRDefault="00DE0C6E" w:rsidP="00DE0C6E">
            <w:pPr>
              <w:rPr>
                <w:rFonts w:ascii="Calibri" w:eastAsia="Times New Roman" w:hAnsi="Calibri" w:cs="Calibri"/>
                <w:sz w:val="22"/>
                <w:szCs w:val="22"/>
                <w:lang w:eastAsia="en-GB"/>
              </w:rPr>
            </w:pPr>
          </w:p>
        </w:tc>
        <w:tc>
          <w:tcPr>
            <w:tcW w:w="1276" w:type="dxa"/>
            <w:vMerge/>
            <w:tcBorders>
              <w:top w:val="nil"/>
              <w:left w:val="single" w:sz="8" w:space="0" w:color="auto"/>
              <w:bottom w:val="single" w:sz="4" w:space="0" w:color="000000"/>
              <w:right w:val="single" w:sz="8" w:space="0" w:color="auto"/>
            </w:tcBorders>
            <w:vAlign w:val="center"/>
            <w:hideMark/>
          </w:tcPr>
          <w:p w:rsidR="00DE0C6E" w:rsidRPr="009D6B97" w:rsidRDefault="00DE0C6E" w:rsidP="00DE0C6E">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DE0C6E" w:rsidRPr="009D6B97" w:rsidRDefault="00DE0C6E" w:rsidP="00DE0C6E">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shd w:val="clear" w:color="auto" w:fill="BFBFBF" w:themeFill="background1" w:themeFillShade="BF"/>
            <w:vAlign w:val="center"/>
            <w:hideMark/>
          </w:tcPr>
          <w:p w:rsidR="00DE0C6E" w:rsidRPr="009D6B97" w:rsidRDefault="00DE0C6E" w:rsidP="00DE0C6E">
            <w:pPr>
              <w:rPr>
                <w:rFonts w:ascii="Calibri" w:eastAsia="Times New Roman" w:hAnsi="Calibri" w:cs="Calibri"/>
                <w:sz w:val="22"/>
                <w:szCs w:val="22"/>
                <w:lang w:eastAsia="en-GB"/>
              </w:rPr>
            </w:pPr>
          </w:p>
        </w:tc>
        <w:tc>
          <w:tcPr>
            <w:tcW w:w="1350" w:type="dxa"/>
            <w:vMerge/>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DE0C6E" w:rsidRPr="009D6B97" w:rsidRDefault="00DE0C6E" w:rsidP="00DE0C6E">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rsidR="00DE0C6E" w:rsidRPr="009D6B97" w:rsidRDefault="00DE0C6E" w:rsidP="00DE0C6E">
            <w:pPr>
              <w:rPr>
                <w:rFonts w:ascii="Calibri" w:eastAsia="Times New Roman" w:hAnsi="Calibri" w:cs="Calibri"/>
                <w:b/>
                <w:bCs/>
                <w:sz w:val="22"/>
                <w:szCs w:val="22"/>
                <w:lang w:eastAsia="en-GB"/>
              </w:rPr>
            </w:pPr>
          </w:p>
        </w:tc>
      </w:tr>
      <w:tr w:rsidR="00DE0C6E" w:rsidRPr="009D6B97" w:rsidTr="00CE6277">
        <w:trPr>
          <w:trHeight w:val="1076"/>
        </w:trPr>
        <w:tc>
          <w:tcPr>
            <w:tcW w:w="1276" w:type="dxa"/>
            <w:tcBorders>
              <w:top w:val="nil"/>
              <w:left w:val="single" w:sz="8" w:space="0" w:color="auto"/>
              <w:bottom w:val="single" w:sz="4" w:space="0" w:color="auto"/>
              <w:right w:val="nil"/>
            </w:tcBorders>
            <w:shd w:val="clear" w:color="auto" w:fill="auto"/>
            <w:noWrap/>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CPC017</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Oxford residents’ satisfaction with City Council services</w:t>
            </w:r>
          </w:p>
        </w:tc>
        <w:tc>
          <w:tcPr>
            <w:tcW w:w="1276" w:type="dxa"/>
            <w:tcBorders>
              <w:top w:val="nil"/>
              <w:left w:val="nil"/>
              <w:bottom w:val="single" w:sz="4" w:space="0" w:color="auto"/>
              <w:right w:val="nil"/>
            </w:tcBorders>
            <w:shd w:val="clear" w:color="auto" w:fill="auto"/>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Mish Tullar</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rsidR="00DE0C6E" w:rsidRPr="00924606" w:rsidRDefault="00DE0C6E" w:rsidP="00DE0C6E">
            <w:pPr>
              <w:jc w:val="cente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No data available</w:t>
            </w:r>
          </w:p>
        </w:tc>
        <w:tc>
          <w:tcPr>
            <w:tcW w:w="1218" w:type="dxa"/>
            <w:tcBorders>
              <w:top w:val="nil"/>
              <w:left w:val="nil"/>
              <w:bottom w:val="single" w:sz="4" w:space="0" w:color="auto"/>
              <w:right w:val="nil"/>
            </w:tcBorders>
            <w:shd w:val="clear" w:color="auto" w:fill="auto"/>
            <w:noWrap/>
            <w:vAlign w:val="center"/>
            <w:hideMark/>
          </w:tcPr>
          <w:p w:rsidR="00DE0C6E" w:rsidRPr="00924606" w:rsidRDefault="00DE0C6E" w:rsidP="00DE0C6E">
            <w:pPr>
              <w:jc w:val="cente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Tracking Indicator</w:t>
            </w:r>
          </w:p>
        </w:tc>
        <w:tc>
          <w:tcPr>
            <w:tcW w:w="1350" w:type="dxa"/>
            <w:tcBorders>
              <w:top w:val="nil"/>
              <w:left w:val="single" w:sz="8" w:space="0" w:color="auto"/>
              <w:bottom w:val="single" w:sz="4" w:space="0" w:color="auto"/>
              <w:right w:val="single" w:sz="8" w:space="0" w:color="auto"/>
            </w:tcBorders>
            <w:shd w:val="clear" w:color="auto" w:fill="auto"/>
            <w:vAlign w:val="center"/>
            <w:hideMark/>
          </w:tcPr>
          <w:p w:rsidR="00DE0C6E" w:rsidRPr="00924606" w:rsidRDefault="00DE0C6E" w:rsidP="00DE0C6E">
            <w:pPr>
              <w:jc w:val="cente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TBC</w:t>
            </w:r>
          </w:p>
        </w:tc>
        <w:tc>
          <w:tcPr>
            <w:tcW w:w="6379" w:type="dxa"/>
            <w:tcBorders>
              <w:top w:val="nil"/>
              <w:left w:val="nil"/>
              <w:bottom w:val="single" w:sz="4" w:space="0" w:color="auto"/>
              <w:right w:val="single" w:sz="8" w:space="0" w:color="auto"/>
            </w:tcBorders>
            <w:shd w:val="clear" w:color="auto" w:fill="auto"/>
            <w:vAlign w:val="center"/>
            <w:hideMark/>
          </w:tcPr>
          <w:p w:rsidR="00DE0C6E" w:rsidRPr="00924606" w:rsidRDefault="00DE0C6E" w:rsidP="00DE0C6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Baseline survey to take place in July 2023.</w:t>
            </w:r>
          </w:p>
        </w:tc>
      </w:tr>
      <w:tr w:rsidR="00AF5D47" w:rsidRPr="009D6B97" w:rsidTr="00AF5D47">
        <w:trPr>
          <w:trHeight w:val="290"/>
        </w:trPr>
        <w:tc>
          <w:tcPr>
            <w:tcW w:w="1276" w:type="dxa"/>
            <w:tcBorders>
              <w:top w:val="nil"/>
              <w:left w:val="single" w:sz="8" w:space="0" w:color="auto"/>
              <w:bottom w:val="single" w:sz="4" w:space="0" w:color="auto"/>
              <w:right w:val="nil"/>
            </w:tcBorders>
            <w:shd w:val="clear" w:color="auto" w:fill="auto"/>
            <w:noWrap/>
            <w:vAlign w:val="center"/>
            <w:hideMark/>
          </w:tcPr>
          <w:p w:rsidR="00AF5D47" w:rsidRPr="00924606" w:rsidRDefault="00AF5D47" w:rsidP="00AF5D4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lastRenderedPageBreak/>
              <w:t>CSC012</w:t>
            </w:r>
          </w:p>
        </w:tc>
        <w:tc>
          <w:tcPr>
            <w:tcW w:w="3119" w:type="dxa"/>
            <w:tcBorders>
              <w:top w:val="nil"/>
              <w:left w:val="single" w:sz="8" w:space="0" w:color="auto"/>
              <w:bottom w:val="single" w:sz="4" w:space="0" w:color="auto"/>
              <w:right w:val="single" w:sz="8" w:space="0" w:color="auto"/>
            </w:tcBorders>
            <w:shd w:val="clear" w:color="auto" w:fill="auto"/>
            <w:vAlign w:val="center"/>
            <w:hideMark/>
          </w:tcPr>
          <w:p w:rsidR="00AF5D47" w:rsidRPr="00924606" w:rsidRDefault="00AF5D47" w:rsidP="00AF5D4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Physically active adults</w:t>
            </w:r>
          </w:p>
        </w:tc>
        <w:tc>
          <w:tcPr>
            <w:tcW w:w="1276" w:type="dxa"/>
            <w:tcBorders>
              <w:top w:val="nil"/>
              <w:left w:val="nil"/>
              <w:bottom w:val="single" w:sz="4" w:space="0" w:color="auto"/>
              <w:right w:val="nil"/>
            </w:tcBorders>
            <w:shd w:val="clear" w:color="auto" w:fill="auto"/>
            <w:vAlign w:val="center"/>
            <w:hideMark/>
          </w:tcPr>
          <w:p w:rsidR="00AF5D47" w:rsidRPr="00924606" w:rsidRDefault="00AF5D47" w:rsidP="00AF5D4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Ian Brooke</w:t>
            </w:r>
          </w:p>
        </w:tc>
        <w:tc>
          <w:tcPr>
            <w:tcW w:w="1218" w:type="dxa"/>
            <w:tcBorders>
              <w:top w:val="nil"/>
              <w:left w:val="single" w:sz="8" w:space="0" w:color="auto"/>
              <w:bottom w:val="single" w:sz="4" w:space="0" w:color="auto"/>
              <w:right w:val="single" w:sz="8" w:space="0" w:color="auto"/>
            </w:tcBorders>
            <w:shd w:val="clear" w:color="auto" w:fill="auto"/>
            <w:vAlign w:val="center"/>
            <w:hideMark/>
          </w:tcPr>
          <w:p w:rsidR="00AF5D47" w:rsidRPr="00924606" w:rsidRDefault="00AF5D47"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76</w:t>
            </w:r>
          </w:p>
        </w:tc>
        <w:tc>
          <w:tcPr>
            <w:tcW w:w="1218" w:type="dxa"/>
            <w:tcBorders>
              <w:top w:val="nil"/>
              <w:left w:val="nil"/>
              <w:bottom w:val="single" w:sz="4" w:space="0" w:color="auto"/>
              <w:right w:val="nil"/>
            </w:tcBorders>
            <w:shd w:val="clear" w:color="auto" w:fill="auto"/>
            <w:noWrap/>
            <w:vAlign w:val="center"/>
            <w:hideMark/>
          </w:tcPr>
          <w:p w:rsidR="00AF5D47" w:rsidRPr="00924606" w:rsidRDefault="00AF5D47"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76</w:t>
            </w:r>
          </w:p>
        </w:tc>
        <w:tc>
          <w:tcPr>
            <w:tcW w:w="1350" w:type="dxa"/>
            <w:tcBorders>
              <w:top w:val="nil"/>
              <w:left w:val="single" w:sz="8" w:space="0" w:color="auto"/>
              <w:bottom w:val="single" w:sz="4" w:space="0" w:color="auto"/>
              <w:right w:val="single" w:sz="8" w:space="0" w:color="auto"/>
            </w:tcBorders>
            <w:shd w:val="clear" w:color="auto" w:fill="FFC000"/>
            <w:vAlign w:val="center"/>
            <w:hideMark/>
          </w:tcPr>
          <w:p w:rsidR="00AF5D47" w:rsidRPr="00924606" w:rsidRDefault="00AF5D47"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68.4</w:t>
            </w:r>
          </w:p>
        </w:tc>
        <w:tc>
          <w:tcPr>
            <w:tcW w:w="6379" w:type="dxa"/>
            <w:tcBorders>
              <w:top w:val="nil"/>
              <w:left w:val="nil"/>
              <w:bottom w:val="single" w:sz="4" w:space="0" w:color="auto"/>
              <w:right w:val="single" w:sz="8" w:space="0" w:color="auto"/>
            </w:tcBorders>
            <w:shd w:val="clear" w:color="auto" w:fill="auto"/>
            <w:hideMark/>
          </w:tcPr>
          <w:p w:rsidR="00AF5D47" w:rsidRPr="0005475A" w:rsidRDefault="00AF5D47" w:rsidP="00AF5D47">
            <w:pPr>
              <w:textAlignment w:val="baseline"/>
              <w:rPr>
                <w:rFonts w:ascii="Segoe UI" w:eastAsia="Times New Roman" w:hAnsi="Segoe UI" w:cs="Segoe UI"/>
                <w:sz w:val="18"/>
                <w:szCs w:val="18"/>
                <w:lang w:eastAsia="en-GB"/>
              </w:rPr>
            </w:pPr>
            <w:r w:rsidRPr="0005475A">
              <w:rPr>
                <w:rFonts w:eastAsia="Times New Roman"/>
                <w:color w:val="000000"/>
                <w:sz w:val="20"/>
                <w:szCs w:val="20"/>
                <w:lang w:eastAsia="en-GB"/>
              </w:rPr>
              <w:t>Based off the Active Lives data. </w:t>
            </w:r>
          </w:p>
        </w:tc>
      </w:tr>
      <w:tr w:rsidR="00AF5D47" w:rsidRPr="009D6B97" w:rsidTr="001E0C31">
        <w:trPr>
          <w:trHeight w:val="1450"/>
        </w:trPr>
        <w:tc>
          <w:tcPr>
            <w:tcW w:w="1276" w:type="dxa"/>
            <w:tcBorders>
              <w:top w:val="nil"/>
              <w:left w:val="single" w:sz="8" w:space="0" w:color="auto"/>
              <w:bottom w:val="single" w:sz="4" w:space="0" w:color="auto"/>
              <w:right w:val="nil"/>
            </w:tcBorders>
            <w:shd w:val="clear" w:color="auto" w:fill="auto"/>
            <w:noWrap/>
            <w:hideMark/>
          </w:tcPr>
          <w:p w:rsidR="00AF5D47" w:rsidRPr="009D6B97" w:rsidRDefault="00AF5D47" w:rsidP="00AF5D4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RS005</w:t>
            </w:r>
          </w:p>
        </w:tc>
        <w:tc>
          <w:tcPr>
            <w:tcW w:w="3119" w:type="dxa"/>
            <w:tcBorders>
              <w:top w:val="nil"/>
              <w:left w:val="single" w:sz="8" w:space="0" w:color="auto"/>
              <w:bottom w:val="single" w:sz="4" w:space="0" w:color="auto"/>
              <w:right w:val="single" w:sz="8" w:space="0" w:color="auto"/>
            </w:tcBorders>
            <w:shd w:val="clear" w:color="auto" w:fill="auto"/>
            <w:hideMark/>
          </w:tcPr>
          <w:p w:rsidR="00AF5D47" w:rsidRPr="009D6B97" w:rsidRDefault="00AF5D47" w:rsidP="00AF5D4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Number of cases in the private rented sector, where homelessness prevented following intervention by the Tenancy Relations Officer</w:t>
            </w:r>
          </w:p>
        </w:tc>
        <w:tc>
          <w:tcPr>
            <w:tcW w:w="1276" w:type="dxa"/>
            <w:tcBorders>
              <w:top w:val="nil"/>
              <w:left w:val="nil"/>
              <w:bottom w:val="single" w:sz="4" w:space="0" w:color="auto"/>
              <w:right w:val="nil"/>
            </w:tcBorders>
            <w:shd w:val="clear" w:color="auto" w:fill="auto"/>
            <w:hideMark/>
          </w:tcPr>
          <w:p w:rsidR="00AF5D47" w:rsidRPr="009D6B97" w:rsidRDefault="00AF5D47" w:rsidP="00AF5D47">
            <w:pP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Ian Wright</w:t>
            </w:r>
          </w:p>
        </w:tc>
        <w:tc>
          <w:tcPr>
            <w:tcW w:w="1218" w:type="dxa"/>
            <w:tcBorders>
              <w:top w:val="nil"/>
              <w:left w:val="single" w:sz="8" w:space="0" w:color="auto"/>
              <w:bottom w:val="single" w:sz="4" w:space="0" w:color="auto"/>
              <w:right w:val="single" w:sz="8" w:space="0" w:color="auto"/>
            </w:tcBorders>
            <w:shd w:val="clear" w:color="auto" w:fill="auto"/>
            <w:hideMark/>
          </w:tcPr>
          <w:p w:rsidR="00AF5D47" w:rsidRPr="009D6B97" w:rsidRDefault="00AF5D47"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120</w:t>
            </w:r>
          </w:p>
        </w:tc>
        <w:tc>
          <w:tcPr>
            <w:tcW w:w="1218" w:type="dxa"/>
            <w:tcBorders>
              <w:top w:val="nil"/>
              <w:left w:val="nil"/>
              <w:bottom w:val="single" w:sz="4" w:space="0" w:color="auto"/>
              <w:right w:val="nil"/>
            </w:tcBorders>
            <w:shd w:val="clear" w:color="auto" w:fill="auto"/>
            <w:hideMark/>
          </w:tcPr>
          <w:p w:rsidR="00AF5D47" w:rsidRPr="009D6B97" w:rsidRDefault="00AF5D47" w:rsidP="00AF5D47">
            <w:pPr>
              <w:jc w:val="center"/>
              <w:rPr>
                <w:rFonts w:ascii="Calibri" w:eastAsia="Times New Roman" w:hAnsi="Calibri" w:cs="Calibri"/>
                <w:sz w:val="22"/>
                <w:szCs w:val="22"/>
                <w:lang w:eastAsia="en-GB"/>
              </w:rPr>
            </w:pPr>
            <w:r w:rsidRPr="009D6B97">
              <w:rPr>
                <w:rFonts w:ascii="Calibri" w:eastAsia="Times New Roman" w:hAnsi="Calibri" w:cs="Calibri"/>
                <w:sz w:val="22"/>
                <w:szCs w:val="22"/>
                <w:lang w:eastAsia="en-GB"/>
              </w:rPr>
              <w:t> </w:t>
            </w:r>
            <w:r>
              <w:rPr>
                <w:rFonts w:ascii="Calibri" w:eastAsia="Times New Roman" w:hAnsi="Calibri" w:cs="Calibri"/>
                <w:sz w:val="22"/>
                <w:szCs w:val="22"/>
                <w:lang w:eastAsia="en-GB"/>
              </w:rPr>
              <w:t>30</w:t>
            </w:r>
          </w:p>
        </w:tc>
        <w:tc>
          <w:tcPr>
            <w:tcW w:w="1350" w:type="dxa"/>
            <w:tcBorders>
              <w:top w:val="nil"/>
              <w:left w:val="single" w:sz="8" w:space="0" w:color="auto"/>
              <w:bottom w:val="single" w:sz="4" w:space="0" w:color="auto"/>
              <w:right w:val="single" w:sz="8" w:space="0" w:color="auto"/>
            </w:tcBorders>
            <w:shd w:val="clear" w:color="auto" w:fill="FF0000"/>
            <w:hideMark/>
          </w:tcPr>
          <w:p w:rsidR="00AF5D47" w:rsidRPr="001E0C31" w:rsidRDefault="00AF5D47" w:rsidP="00AF5D47">
            <w:pPr>
              <w:jc w:val="center"/>
              <w:rPr>
                <w:rFonts w:ascii="Calibri" w:eastAsia="Times New Roman" w:hAnsi="Calibri" w:cs="Calibri"/>
                <w:color w:val="FFFFFF" w:themeColor="background1"/>
                <w:sz w:val="22"/>
                <w:szCs w:val="22"/>
                <w:lang w:eastAsia="en-GB"/>
              </w:rPr>
            </w:pPr>
            <w:r w:rsidRPr="001E0C31">
              <w:rPr>
                <w:rFonts w:ascii="Calibri" w:eastAsia="Times New Roman" w:hAnsi="Calibri" w:cs="Calibri"/>
                <w:color w:val="FFFFFF" w:themeColor="background1"/>
                <w:sz w:val="22"/>
                <w:szCs w:val="22"/>
                <w:lang w:eastAsia="en-GB"/>
              </w:rPr>
              <w:t>19</w:t>
            </w:r>
          </w:p>
        </w:tc>
        <w:tc>
          <w:tcPr>
            <w:tcW w:w="6379" w:type="dxa"/>
            <w:tcBorders>
              <w:top w:val="nil"/>
              <w:left w:val="nil"/>
              <w:bottom w:val="single" w:sz="4" w:space="0" w:color="auto"/>
              <w:right w:val="single" w:sz="8" w:space="0" w:color="auto"/>
            </w:tcBorders>
            <w:shd w:val="clear" w:color="auto" w:fill="auto"/>
            <w:hideMark/>
          </w:tcPr>
          <w:p w:rsidR="00AF5D47" w:rsidRPr="009D6B97" w:rsidRDefault="00AF5D47" w:rsidP="00AF5D47">
            <w:pPr>
              <w:rPr>
                <w:rFonts w:ascii="Calibri" w:eastAsia="Times New Roman" w:hAnsi="Calibri" w:cs="Calibri"/>
                <w:sz w:val="22"/>
                <w:szCs w:val="22"/>
                <w:lang w:eastAsia="en-GB"/>
              </w:rPr>
            </w:pPr>
            <w:r w:rsidRPr="001E0C31">
              <w:rPr>
                <w:rFonts w:ascii="Calibri" w:eastAsia="Times New Roman" w:hAnsi="Calibri" w:cs="Calibri"/>
                <w:sz w:val="22"/>
                <w:szCs w:val="22"/>
                <w:lang w:eastAsia="en-GB"/>
              </w:rPr>
              <w:t>YTD - 55</w:t>
            </w:r>
          </w:p>
        </w:tc>
      </w:tr>
      <w:tr w:rsidR="00AF5D47" w:rsidRPr="009D6B97" w:rsidTr="00DE0C6E">
        <w:trPr>
          <w:trHeight w:val="737"/>
        </w:trPr>
        <w:tc>
          <w:tcPr>
            <w:tcW w:w="1276" w:type="dxa"/>
            <w:vMerge w:val="restart"/>
            <w:tcBorders>
              <w:top w:val="nil"/>
              <w:left w:val="single" w:sz="8" w:space="0" w:color="auto"/>
              <w:bottom w:val="single" w:sz="4" w:space="0" w:color="auto"/>
              <w:right w:val="nil"/>
            </w:tcBorders>
            <w:shd w:val="clear" w:color="auto" w:fill="auto"/>
            <w:vAlign w:val="center"/>
            <w:hideMark/>
          </w:tcPr>
          <w:p w:rsidR="00AF5D47" w:rsidRPr="00924606" w:rsidRDefault="00AF5D47" w:rsidP="00AF5D4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HSCO23</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AF5D47" w:rsidRPr="00924606" w:rsidRDefault="00AF5D47" w:rsidP="00AF5D4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Number of rough sleepers without an offer of accommodation</w:t>
            </w:r>
          </w:p>
        </w:tc>
        <w:tc>
          <w:tcPr>
            <w:tcW w:w="1276" w:type="dxa"/>
            <w:vMerge w:val="restart"/>
            <w:tcBorders>
              <w:top w:val="nil"/>
              <w:left w:val="nil"/>
              <w:bottom w:val="single" w:sz="4" w:space="0" w:color="auto"/>
              <w:right w:val="nil"/>
            </w:tcBorders>
            <w:shd w:val="clear" w:color="auto" w:fill="auto"/>
            <w:vAlign w:val="center"/>
            <w:hideMark/>
          </w:tcPr>
          <w:p w:rsidR="00AF5D47" w:rsidRPr="00924606" w:rsidRDefault="00AF5D47" w:rsidP="00AF5D47">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Nerys Parry</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tcPr>
          <w:p w:rsidR="00AF5D47" w:rsidRPr="00DE0C6E" w:rsidRDefault="00AF5D47" w:rsidP="00AF5D47">
            <w:pPr>
              <w:jc w:val="center"/>
              <w:rPr>
                <w:rFonts w:ascii="Calibri" w:eastAsia="Times New Roman" w:hAnsi="Calibri" w:cs="Calibri"/>
                <w:sz w:val="22"/>
                <w:szCs w:val="22"/>
                <w:lang w:eastAsia="en-GB"/>
              </w:rPr>
            </w:pPr>
            <w:r w:rsidRPr="00DE0C6E">
              <w:rPr>
                <w:rFonts w:ascii="Calibri" w:eastAsia="Times New Roman" w:hAnsi="Calibri" w:cs="Calibri"/>
                <w:sz w:val="22"/>
                <w:szCs w:val="22"/>
                <w:lang w:eastAsia="en-GB"/>
              </w:rPr>
              <w:t>30</w:t>
            </w:r>
          </w:p>
        </w:tc>
        <w:tc>
          <w:tcPr>
            <w:tcW w:w="1218" w:type="dxa"/>
            <w:vMerge w:val="restart"/>
            <w:tcBorders>
              <w:top w:val="nil"/>
              <w:left w:val="nil"/>
              <w:bottom w:val="single" w:sz="4" w:space="0" w:color="auto"/>
              <w:right w:val="nil"/>
            </w:tcBorders>
            <w:shd w:val="clear" w:color="auto" w:fill="auto"/>
            <w:vAlign w:val="center"/>
          </w:tcPr>
          <w:p w:rsidR="00AF5D47" w:rsidRPr="00DE0C6E" w:rsidRDefault="00AF5D47" w:rsidP="00AF5D47">
            <w:pPr>
              <w:jc w:val="center"/>
              <w:rPr>
                <w:rFonts w:ascii="Calibri" w:eastAsia="Times New Roman" w:hAnsi="Calibri" w:cs="Calibri"/>
                <w:sz w:val="22"/>
                <w:szCs w:val="22"/>
                <w:lang w:eastAsia="en-GB"/>
              </w:rPr>
            </w:pPr>
            <w:r w:rsidRPr="00DE0C6E">
              <w:rPr>
                <w:rFonts w:ascii="Calibri" w:eastAsia="Times New Roman" w:hAnsi="Calibri" w:cs="Calibri"/>
                <w:sz w:val="22"/>
                <w:szCs w:val="22"/>
                <w:lang w:eastAsia="en-GB"/>
              </w:rPr>
              <w:t>30</w:t>
            </w:r>
          </w:p>
        </w:tc>
        <w:tc>
          <w:tcPr>
            <w:tcW w:w="1350" w:type="dxa"/>
            <w:vMerge w:val="restart"/>
            <w:tcBorders>
              <w:top w:val="nil"/>
              <w:left w:val="single" w:sz="8" w:space="0" w:color="auto"/>
              <w:bottom w:val="single" w:sz="4" w:space="0" w:color="auto"/>
              <w:right w:val="single" w:sz="8" w:space="0" w:color="auto"/>
            </w:tcBorders>
            <w:shd w:val="clear" w:color="auto" w:fill="00B050"/>
            <w:vAlign w:val="center"/>
          </w:tcPr>
          <w:p w:rsidR="00AF5D47" w:rsidRPr="00924606" w:rsidRDefault="00AF5D47"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24</w:t>
            </w:r>
          </w:p>
        </w:tc>
        <w:tc>
          <w:tcPr>
            <w:tcW w:w="6379" w:type="dxa"/>
            <w:vMerge w:val="restart"/>
            <w:tcBorders>
              <w:top w:val="nil"/>
              <w:left w:val="nil"/>
              <w:bottom w:val="single" w:sz="4" w:space="0" w:color="auto"/>
              <w:right w:val="single" w:sz="8" w:space="0" w:color="auto"/>
            </w:tcBorders>
            <w:shd w:val="clear" w:color="auto" w:fill="auto"/>
            <w:vAlign w:val="center"/>
          </w:tcPr>
          <w:p w:rsidR="00AF5D47" w:rsidRPr="009D6B97" w:rsidRDefault="00AF5D47" w:rsidP="00AF5D47">
            <w:pPr>
              <w:rPr>
                <w:rFonts w:ascii="Calibri" w:eastAsia="Times New Roman" w:hAnsi="Calibri" w:cs="Calibri"/>
                <w:sz w:val="22"/>
                <w:szCs w:val="22"/>
                <w:lang w:eastAsia="en-GB"/>
              </w:rPr>
            </w:pPr>
            <w:r w:rsidRPr="0005475A">
              <w:rPr>
                <w:rFonts w:eastAsia="Times New Roman"/>
                <w:color w:val="000000"/>
                <w:sz w:val="20"/>
                <w:szCs w:val="20"/>
                <w:lang w:eastAsia="en-GB"/>
              </w:rPr>
              <w:t>We are pleased to report that at the end of the first quarter we were below the target of 30 rough sleepers without an offer of accommodation. At the end of June our nightly rough sleeping estimate was 28, meaning that 4 individuals had an offer of accommodation but continued to sleep out. This is a significant reduction from our May estimate (44 rough sleepers, 41 without an offer) and is a reflection of the excellent work that has taken place in June to get people off the street and accommodated. We had 20 people in 'Off the street' accommodation (SSTS and TA) at the end of the quarter and 16 people had moved in to medium to long-term accommodation across the course of the month. This included 2 new Housing First tenancies. It is also worth noting that some of the reduction in rough sleeper numbers is due to the fact that we are no longer seeing the large Romanian cohort bedded down in the City Centre. The outreach service will occasionally see them around town during the day, but they have not been at any of their bedded down sites for nearly a month now. </w:t>
            </w:r>
          </w:p>
        </w:tc>
      </w:tr>
      <w:tr w:rsidR="00AF5D47" w:rsidRPr="009D6B97" w:rsidTr="00DE0C6E">
        <w:trPr>
          <w:trHeight w:val="276"/>
        </w:trPr>
        <w:tc>
          <w:tcPr>
            <w:tcW w:w="1276" w:type="dxa"/>
            <w:vMerge/>
            <w:tcBorders>
              <w:top w:val="nil"/>
              <w:left w:val="single" w:sz="8" w:space="0" w:color="auto"/>
              <w:bottom w:val="single" w:sz="4" w:space="0" w:color="auto"/>
              <w:right w:val="nil"/>
            </w:tcBorders>
            <w:vAlign w:val="center"/>
            <w:hideMark/>
          </w:tcPr>
          <w:p w:rsidR="00AF5D47" w:rsidRPr="009D6B97" w:rsidRDefault="00AF5D47" w:rsidP="00AF5D4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AF5D47" w:rsidRPr="009D6B97" w:rsidRDefault="00AF5D47" w:rsidP="00AF5D4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AF5D47" w:rsidRPr="009D6B97" w:rsidRDefault="00AF5D47" w:rsidP="00AF5D4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shd w:val="clear" w:color="auto" w:fill="auto"/>
            <w:vAlign w:val="center"/>
          </w:tcPr>
          <w:p w:rsidR="00AF5D47" w:rsidRPr="009D6B97" w:rsidRDefault="00AF5D47" w:rsidP="00AF5D4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shd w:val="clear" w:color="auto" w:fill="auto"/>
            <w:vAlign w:val="center"/>
          </w:tcPr>
          <w:p w:rsidR="00AF5D47" w:rsidRPr="009D6B97" w:rsidRDefault="00AF5D47" w:rsidP="00AF5D47">
            <w:pPr>
              <w:rPr>
                <w:rFonts w:ascii="Calibri" w:eastAsia="Times New Roman" w:hAnsi="Calibri" w:cs="Calibri"/>
                <w:sz w:val="22"/>
                <w:szCs w:val="22"/>
                <w:lang w:eastAsia="en-GB"/>
              </w:rPr>
            </w:pPr>
          </w:p>
        </w:tc>
        <w:tc>
          <w:tcPr>
            <w:tcW w:w="1350" w:type="dxa"/>
            <w:vMerge/>
            <w:tcBorders>
              <w:top w:val="nil"/>
              <w:left w:val="single" w:sz="8" w:space="0" w:color="auto"/>
              <w:bottom w:val="single" w:sz="4" w:space="0" w:color="auto"/>
              <w:right w:val="single" w:sz="8" w:space="0" w:color="auto"/>
            </w:tcBorders>
            <w:shd w:val="clear" w:color="auto" w:fill="00B050"/>
            <w:vAlign w:val="center"/>
          </w:tcPr>
          <w:p w:rsidR="00AF5D47" w:rsidRPr="009D6B97" w:rsidRDefault="00AF5D47" w:rsidP="00AF5D47">
            <w:pPr>
              <w:rPr>
                <w:rFonts w:ascii="Calibri" w:eastAsia="Times New Roman" w:hAnsi="Calibri" w:cs="Calibri"/>
                <w:sz w:val="22"/>
                <w:szCs w:val="22"/>
                <w:lang w:eastAsia="en-GB"/>
              </w:rPr>
            </w:pPr>
          </w:p>
        </w:tc>
        <w:tc>
          <w:tcPr>
            <w:tcW w:w="6379" w:type="dxa"/>
            <w:vMerge/>
            <w:tcBorders>
              <w:top w:val="nil"/>
              <w:left w:val="nil"/>
              <w:bottom w:val="single" w:sz="4" w:space="0" w:color="auto"/>
              <w:right w:val="single" w:sz="8" w:space="0" w:color="auto"/>
            </w:tcBorders>
            <w:vAlign w:val="center"/>
          </w:tcPr>
          <w:p w:rsidR="00AF5D47" w:rsidRPr="009D6B97" w:rsidRDefault="00AF5D47" w:rsidP="00AF5D47">
            <w:pPr>
              <w:rPr>
                <w:rFonts w:ascii="Calibri" w:eastAsia="Times New Roman" w:hAnsi="Calibri" w:cs="Calibri"/>
                <w:sz w:val="22"/>
                <w:szCs w:val="22"/>
                <w:lang w:eastAsia="en-GB"/>
              </w:rPr>
            </w:pPr>
          </w:p>
        </w:tc>
      </w:tr>
      <w:tr w:rsidR="0008120E" w:rsidRPr="009D6B97" w:rsidTr="0008120E">
        <w:trPr>
          <w:trHeight w:val="1247"/>
        </w:trPr>
        <w:tc>
          <w:tcPr>
            <w:tcW w:w="1276" w:type="dxa"/>
            <w:vMerge w:val="restart"/>
            <w:tcBorders>
              <w:top w:val="nil"/>
              <w:left w:val="single" w:sz="8" w:space="0" w:color="auto"/>
              <w:bottom w:val="single" w:sz="8" w:space="0" w:color="000000"/>
              <w:right w:val="nil"/>
            </w:tcBorders>
            <w:shd w:val="clear" w:color="auto" w:fill="auto"/>
            <w:noWrap/>
            <w:vAlign w:val="center"/>
            <w:hideMark/>
          </w:tcPr>
          <w:p w:rsidR="0008120E" w:rsidRPr="00924606" w:rsidRDefault="0008120E" w:rsidP="0008120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HSC014</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8120E" w:rsidRPr="00924606" w:rsidRDefault="0008120E" w:rsidP="0008120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Percentage of council owned stock that has an EPC below C</w:t>
            </w:r>
          </w:p>
        </w:tc>
        <w:tc>
          <w:tcPr>
            <w:tcW w:w="1276" w:type="dxa"/>
            <w:vMerge w:val="restart"/>
            <w:tcBorders>
              <w:top w:val="nil"/>
              <w:left w:val="nil"/>
              <w:bottom w:val="single" w:sz="8" w:space="0" w:color="000000"/>
              <w:right w:val="nil"/>
            </w:tcBorders>
            <w:shd w:val="clear" w:color="auto" w:fill="auto"/>
            <w:vAlign w:val="center"/>
            <w:hideMark/>
          </w:tcPr>
          <w:p w:rsidR="0008120E" w:rsidRPr="00924606" w:rsidRDefault="0008120E" w:rsidP="0008120E">
            <w:pPr>
              <w:rPr>
                <w:rFonts w:ascii="Calibri" w:eastAsia="Times New Roman" w:hAnsi="Calibri" w:cs="Calibri"/>
                <w:sz w:val="22"/>
                <w:szCs w:val="22"/>
                <w:lang w:eastAsia="en-GB"/>
              </w:rPr>
            </w:pPr>
            <w:r w:rsidRPr="00924606">
              <w:rPr>
                <w:rFonts w:ascii="Calibri" w:eastAsia="Times New Roman" w:hAnsi="Calibri" w:cs="Calibri"/>
                <w:sz w:val="22"/>
                <w:szCs w:val="22"/>
                <w:lang w:eastAsia="en-GB"/>
              </w:rPr>
              <w:t>Nerys Parry</w:t>
            </w:r>
          </w:p>
        </w:tc>
        <w:tc>
          <w:tcPr>
            <w:tcW w:w="1218" w:type="dxa"/>
            <w:vMerge w:val="restart"/>
            <w:tcBorders>
              <w:top w:val="nil"/>
              <w:left w:val="single" w:sz="8" w:space="0" w:color="auto"/>
              <w:bottom w:val="single" w:sz="8" w:space="0" w:color="000000"/>
              <w:right w:val="single" w:sz="8" w:space="0" w:color="auto"/>
            </w:tcBorders>
            <w:shd w:val="clear" w:color="auto" w:fill="auto"/>
            <w:vAlign w:val="center"/>
          </w:tcPr>
          <w:p w:rsidR="0008120E" w:rsidRPr="00924606" w:rsidRDefault="0008120E" w:rsidP="0008120E">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30%</w:t>
            </w:r>
          </w:p>
        </w:tc>
        <w:tc>
          <w:tcPr>
            <w:tcW w:w="1218" w:type="dxa"/>
            <w:vMerge w:val="restart"/>
            <w:tcBorders>
              <w:top w:val="nil"/>
              <w:left w:val="nil"/>
              <w:bottom w:val="single" w:sz="8" w:space="0" w:color="000000"/>
              <w:right w:val="nil"/>
            </w:tcBorders>
            <w:shd w:val="clear" w:color="auto" w:fill="auto"/>
            <w:noWrap/>
            <w:vAlign w:val="center"/>
          </w:tcPr>
          <w:p w:rsidR="0008120E" w:rsidRDefault="0008120E" w:rsidP="0008120E">
            <w:pPr>
              <w:jc w:val="center"/>
              <w:rPr>
                <w:color w:val="000000"/>
                <w:sz w:val="20"/>
                <w:szCs w:val="20"/>
              </w:rPr>
            </w:pPr>
            <w:r>
              <w:rPr>
                <w:color w:val="000000"/>
                <w:sz w:val="20"/>
                <w:szCs w:val="20"/>
              </w:rPr>
              <w:t>N/A</w:t>
            </w:r>
          </w:p>
        </w:tc>
        <w:tc>
          <w:tcPr>
            <w:tcW w:w="1350"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08120E" w:rsidRPr="0008120E" w:rsidRDefault="0008120E" w:rsidP="0008120E">
            <w:pPr>
              <w:jc w:val="center"/>
              <w:rPr>
                <w:bCs/>
                <w:color w:val="000000"/>
                <w:sz w:val="20"/>
                <w:szCs w:val="20"/>
              </w:rPr>
            </w:pPr>
            <w:r w:rsidRPr="0008120E">
              <w:rPr>
                <w:bCs/>
                <w:color w:val="000000"/>
                <w:sz w:val="20"/>
                <w:szCs w:val="20"/>
              </w:rPr>
              <w:t>N/A</w:t>
            </w:r>
          </w:p>
        </w:tc>
        <w:tc>
          <w:tcPr>
            <w:tcW w:w="6379" w:type="dxa"/>
            <w:vMerge w:val="restart"/>
            <w:tcBorders>
              <w:top w:val="nil"/>
              <w:left w:val="nil"/>
              <w:bottom w:val="single" w:sz="8" w:space="0" w:color="000000"/>
              <w:right w:val="single" w:sz="8" w:space="0" w:color="auto"/>
            </w:tcBorders>
            <w:shd w:val="clear" w:color="auto" w:fill="auto"/>
            <w:vAlign w:val="center"/>
          </w:tcPr>
          <w:p w:rsidR="0008120E" w:rsidRPr="0008120E" w:rsidRDefault="0008120E" w:rsidP="0008120E">
            <w:pPr>
              <w:rPr>
                <w:rFonts w:eastAsia="Times New Roman"/>
                <w:color w:val="000000"/>
                <w:sz w:val="20"/>
                <w:szCs w:val="20"/>
                <w:lang w:eastAsia="en-GB"/>
              </w:rPr>
            </w:pPr>
            <w:r w:rsidRPr="0008120E">
              <w:rPr>
                <w:rFonts w:eastAsia="Times New Roman"/>
                <w:color w:val="000000"/>
                <w:sz w:val="20"/>
                <w:szCs w:val="20"/>
                <w:lang w:eastAsia="en-GB"/>
              </w:rPr>
              <w:t>The Council has successfully secured Social Housing Decarbonisation Funding which will target 316 below EPC C properties with Energy Efficiency improvements over the next 2 years improving them to an EPC C.</w:t>
            </w:r>
          </w:p>
          <w:p w:rsidR="0008120E" w:rsidRDefault="0008120E" w:rsidP="0008120E">
            <w:pPr>
              <w:rPr>
                <w:color w:val="000000"/>
                <w:sz w:val="20"/>
                <w:szCs w:val="20"/>
              </w:rPr>
            </w:pPr>
          </w:p>
        </w:tc>
      </w:tr>
      <w:tr w:rsidR="00AF5D47" w:rsidRPr="009D6B97" w:rsidTr="0008120E">
        <w:trPr>
          <w:trHeight w:val="300"/>
        </w:trPr>
        <w:tc>
          <w:tcPr>
            <w:tcW w:w="1276" w:type="dxa"/>
            <w:vMerge/>
            <w:tcBorders>
              <w:top w:val="nil"/>
              <w:left w:val="single" w:sz="8" w:space="0" w:color="auto"/>
              <w:bottom w:val="single" w:sz="8" w:space="0" w:color="000000"/>
              <w:right w:val="nil"/>
            </w:tcBorders>
            <w:vAlign w:val="center"/>
            <w:hideMark/>
          </w:tcPr>
          <w:p w:rsidR="00AF5D47" w:rsidRPr="009D6B97" w:rsidRDefault="00AF5D47" w:rsidP="00AF5D47">
            <w:pPr>
              <w:rPr>
                <w:rFonts w:ascii="Calibri" w:eastAsia="Times New Roman" w:hAnsi="Calibri" w:cs="Calibri"/>
                <w:sz w:val="22"/>
                <w:szCs w:val="22"/>
                <w:lang w:eastAsia="en-GB"/>
              </w:rPr>
            </w:pPr>
          </w:p>
        </w:tc>
        <w:tc>
          <w:tcPr>
            <w:tcW w:w="3119" w:type="dxa"/>
            <w:vMerge/>
            <w:tcBorders>
              <w:top w:val="nil"/>
              <w:left w:val="single" w:sz="8" w:space="0" w:color="auto"/>
              <w:bottom w:val="single" w:sz="8" w:space="0" w:color="000000"/>
              <w:right w:val="single" w:sz="8" w:space="0" w:color="auto"/>
            </w:tcBorders>
            <w:vAlign w:val="center"/>
            <w:hideMark/>
          </w:tcPr>
          <w:p w:rsidR="00AF5D47" w:rsidRPr="009D6B97" w:rsidRDefault="00AF5D47" w:rsidP="00AF5D47">
            <w:pPr>
              <w:rPr>
                <w:rFonts w:ascii="Calibri" w:eastAsia="Times New Roman" w:hAnsi="Calibri" w:cs="Calibri"/>
                <w:sz w:val="22"/>
                <w:szCs w:val="22"/>
                <w:lang w:eastAsia="en-GB"/>
              </w:rPr>
            </w:pPr>
          </w:p>
        </w:tc>
        <w:tc>
          <w:tcPr>
            <w:tcW w:w="1276" w:type="dxa"/>
            <w:vMerge/>
            <w:tcBorders>
              <w:top w:val="nil"/>
              <w:left w:val="nil"/>
              <w:bottom w:val="single" w:sz="8" w:space="0" w:color="000000"/>
              <w:right w:val="nil"/>
            </w:tcBorders>
            <w:vAlign w:val="center"/>
            <w:hideMark/>
          </w:tcPr>
          <w:p w:rsidR="00AF5D47" w:rsidRPr="009D6B97" w:rsidRDefault="00AF5D47" w:rsidP="00AF5D47">
            <w:pPr>
              <w:rPr>
                <w:rFonts w:ascii="Calibri" w:eastAsia="Times New Roman" w:hAnsi="Calibri" w:cs="Calibri"/>
                <w:sz w:val="22"/>
                <w:szCs w:val="22"/>
                <w:lang w:eastAsia="en-GB"/>
              </w:rPr>
            </w:pPr>
          </w:p>
        </w:tc>
        <w:tc>
          <w:tcPr>
            <w:tcW w:w="1218" w:type="dxa"/>
            <w:vMerge/>
            <w:tcBorders>
              <w:top w:val="nil"/>
              <w:left w:val="single" w:sz="8" w:space="0" w:color="auto"/>
              <w:bottom w:val="single" w:sz="8" w:space="0" w:color="000000"/>
              <w:right w:val="single" w:sz="8" w:space="0" w:color="auto"/>
            </w:tcBorders>
            <w:shd w:val="clear" w:color="auto" w:fill="auto"/>
            <w:vAlign w:val="center"/>
          </w:tcPr>
          <w:p w:rsidR="00AF5D47" w:rsidRPr="009D6B97" w:rsidRDefault="00AF5D47" w:rsidP="00AF5D47">
            <w:pPr>
              <w:rPr>
                <w:rFonts w:ascii="Calibri" w:eastAsia="Times New Roman" w:hAnsi="Calibri" w:cs="Calibri"/>
                <w:sz w:val="22"/>
                <w:szCs w:val="22"/>
                <w:lang w:eastAsia="en-GB"/>
              </w:rPr>
            </w:pPr>
          </w:p>
        </w:tc>
        <w:tc>
          <w:tcPr>
            <w:tcW w:w="1218" w:type="dxa"/>
            <w:vMerge/>
            <w:tcBorders>
              <w:top w:val="nil"/>
              <w:left w:val="nil"/>
              <w:bottom w:val="single" w:sz="8" w:space="0" w:color="000000"/>
              <w:right w:val="nil"/>
            </w:tcBorders>
            <w:shd w:val="clear" w:color="auto" w:fill="auto"/>
            <w:vAlign w:val="center"/>
          </w:tcPr>
          <w:p w:rsidR="00AF5D47" w:rsidRPr="009D6B97" w:rsidRDefault="00AF5D47" w:rsidP="00AF5D47">
            <w:pPr>
              <w:rPr>
                <w:rFonts w:ascii="Calibri" w:eastAsia="Times New Roman" w:hAnsi="Calibri" w:cs="Calibri"/>
                <w:sz w:val="22"/>
                <w:szCs w:val="22"/>
                <w:lang w:eastAsia="en-GB"/>
              </w:rPr>
            </w:pPr>
          </w:p>
        </w:tc>
        <w:tc>
          <w:tcPr>
            <w:tcW w:w="1350"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AF5D47" w:rsidRPr="009D6B97" w:rsidRDefault="00AF5D47" w:rsidP="00AF5D47">
            <w:pPr>
              <w:rPr>
                <w:rFonts w:ascii="Calibri" w:eastAsia="Times New Roman" w:hAnsi="Calibri" w:cs="Calibri"/>
                <w:sz w:val="22"/>
                <w:szCs w:val="22"/>
                <w:lang w:eastAsia="en-GB"/>
              </w:rPr>
            </w:pPr>
          </w:p>
        </w:tc>
        <w:tc>
          <w:tcPr>
            <w:tcW w:w="6379" w:type="dxa"/>
            <w:vMerge/>
            <w:tcBorders>
              <w:top w:val="nil"/>
              <w:left w:val="nil"/>
              <w:bottom w:val="single" w:sz="8" w:space="0" w:color="000000"/>
              <w:right w:val="single" w:sz="8" w:space="0" w:color="auto"/>
            </w:tcBorders>
            <w:vAlign w:val="center"/>
          </w:tcPr>
          <w:p w:rsidR="00AF5D47" w:rsidRPr="009D6B97" w:rsidRDefault="00AF5D47" w:rsidP="00AF5D47">
            <w:pPr>
              <w:rPr>
                <w:rFonts w:ascii="Calibri" w:eastAsia="Times New Roman" w:hAnsi="Calibri" w:cs="Calibri"/>
                <w:sz w:val="22"/>
                <w:szCs w:val="22"/>
                <w:lang w:eastAsia="en-GB"/>
              </w:rPr>
            </w:pPr>
          </w:p>
        </w:tc>
      </w:tr>
      <w:tr w:rsidR="00AF5D47" w:rsidRPr="001E0C31" w:rsidTr="00CE6277">
        <w:trPr>
          <w:trHeight w:val="1460"/>
        </w:trPr>
        <w:tc>
          <w:tcPr>
            <w:tcW w:w="1276" w:type="dxa"/>
            <w:tcBorders>
              <w:top w:val="single" w:sz="8" w:space="0" w:color="auto"/>
              <w:left w:val="single" w:sz="8" w:space="0" w:color="auto"/>
              <w:bottom w:val="single" w:sz="8" w:space="0" w:color="auto"/>
              <w:right w:val="nil"/>
            </w:tcBorders>
            <w:shd w:val="clear" w:color="auto" w:fill="auto"/>
            <w:vAlign w:val="center"/>
            <w:hideMark/>
          </w:tcPr>
          <w:p w:rsidR="00AF5D47" w:rsidRPr="00DE0C6E" w:rsidRDefault="00AF5D47" w:rsidP="00AF5D47">
            <w:pPr>
              <w:rPr>
                <w:rFonts w:ascii="Calibri" w:hAnsi="Calibri" w:cs="Calibri"/>
                <w:color w:val="000000"/>
                <w:sz w:val="22"/>
                <w:szCs w:val="22"/>
              </w:rPr>
            </w:pPr>
            <w:r w:rsidRPr="00DE0C6E">
              <w:rPr>
                <w:rFonts w:ascii="Calibri" w:hAnsi="Calibri" w:cs="Calibri"/>
                <w:color w:val="000000"/>
                <w:sz w:val="22"/>
                <w:szCs w:val="22"/>
              </w:rPr>
              <w:lastRenderedPageBreak/>
              <w:t>HP011</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5D47" w:rsidRPr="00DE0C6E" w:rsidRDefault="00AF5D47" w:rsidP="00AF5D47">
            <w:pPr>
              <w:rPr>
                <w:rFonts w:ascii="Calibri" w:hAnsi="Calibri" w:cs="Calibri"/>
                <w:color w:val="000000"/>
                <w:sz w:val="22"/>
                <w:szCs w:val="22"/>
              </w:rPr>
            </w:pPr>
            <w:r w:rsidRPr="00DE0C6E">
              <w:rPr>
                <w:rFonts w:ascii="Calibri" w:hAnsi="Calibri" w:cs="Calibri"/>
                <w:color w:val="000000"/>
                <w:sz w:val="22"/>
                <w:szCs w:val="22"/>
              </w:rPr>
              <w:t>Households in temporary accommodation</w:t>
            </w:r>
          </w:p>
        </w:tc>
        <w:tc>
          <w:tcPr>
            <w:tcW w:w="1276" w:type="dxa"/>
            <w:tcBorders>
              <w:top w:val="single" w:sz="8" w:space="0" w:color="auto"/>
              <w:left w:val="nil"/>
              <w:bottom w:val="single" w:sz="8" w:space="0" w:color="auto"/>
              <w:right w:val="nil"/>
            </w:tcBorders>
            <w:shd w:val="clear" w:color="auto" w:fill="auto"/>
            <w:vAlign w:val="center"/>
            <w:hideMark/>
          </w:tcPr>
          <w:p w:rsidR="00AF5D47" w:rsidRPr="00DE0C6E" w:rsidRDefault="00AF5D47" w:rsidP="00AF5D47">
            <w:pPr>
              <w:rPr>
                <w:rFonts w:ascii="Calibri" w:hAnsi="Calibri" w:cs="Calibri"/>
                <w:color w:val="000000"/>
                <w:sz w:val="22"/>
                <w:szCs w:val="22"/>
              </w:rPr>
            </w:pPr>
            <w:r w:rsidRPr="00DE0C6E">
              <w:rPr>
                <w:rFonts w:ascii="Calibri" w:hAnsi="Calibri" w:cs="Calibri"/>
                <w:color w:val="000000"/>
                <w:sz w:val="22"/>
                <w:szCs w:val="22"/>
              </w:rPr>
              <w:t>Nerys Parry</w:t>
            </w:r>
          </w:p>
        </w:tc>
        <w:tc>
          <w:tcPr>
            <w:tcW w:w="12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5D47" w:rsidRPr="00DE0C6E" w:rsidRDefault="0008120E" w:rsidP="00AF5D47">
            <w:pPr>
              <w:jc w:val="center"/>
              <w:rPr>
                <w:rFonts w:ascii="Calibri" w:hAnsi="Calibri" w:cs="Calibri"/>
                <w:color w:val="000000"/>
                <w:sz w:val="22"/>
                <w:szCs w:val="22"/>
              </w:rPr>
            </w:pPr>
            <w:r>
              <w:rPr>
                <w:rFonts w:ascii="Calibri" w:hAnsi="Calibri" w:cs="Calibri"/>
                <w:color w:val="000000"/>
                <w:sz w:val="22"/>
                <w:szCs w:val="22"/>
              </w:rPr>
              <w:t>120</w:t>
            </w:r>
          </w:p>
        </w:tc>
        <w:tc>
          <w:tcPr>
            <w:tcW w:w="1218" w:type="dxa"/>
            <w:tcBorders>
              <w:top w:val="single" w:sz="8" w:space="0" w:color="auto"/>
              <w:left w:val="nil"/>
              <w:bottom w:val="single" w:sz="8" w:space="0" w:color="auto"/>
              <w:right w:val="nil"/>
            </w:tcBorders>
            <w:shd w:val="clear" w:color="auto" w:fill="auto"/>
            <w:vAlign w:val="center"/>
            <w:hideMark/>
          </w:tcPr>
          <w:p w:rsidR="00AF5D47" w:rsidRPr="00DE0C6E" w:rsidRDefault="0008120E" w:rsidP="0008120E">
            <w:pPr>
              <w:jc w:val="center"/>
              <w:rPr>
                <w:rFonts w:ascii="Calibri" w:hAnsi="Calibri" w:cs="Calibri"/>
                <w:color w:val="000000"/>
                <w:sz w:val="22"/>
                <w:szCs w:val="22"/>
              </w:rPr>
            </w:pPr>
            <w:r>
              <w:rPr>
                <w:rFonts w:ascii="Calibri" w:hAnsi="Calibri" w:cs="Calibri"/>
                <w:color w:val="000000"/>
                <w:sz w:val="22"/>
                <w:szCs w:val="22"/>
              </w:rPr>
              <w:t>120</w:t>
            </w:r>
          </w:p>
        </w:tc>
        <w:tc>
          <w:tcPr>
            <w:tcW w:w="1350" w:type="dxa"/>
            <w:tcBorders>
              <w:top w:val="single" w:sz="8" w:space="0" w:color="auto"/>
              <w:left w:val="single" w:sz="8" w:space="0" w:color="auto"/>
              <w:bottom w:val="single" w:sz="8" w:space="0" w:color="auto"/>
              <w:right w:val="single" w:sz="8" w:space="0" w:color="auto"/>
            </w:tcBorders>
            <w:shd w:val="clear" w:color="auto" w:fill="FF0000"/>
            <w:vAlign w:val="center"/>
            <w:hideMark/>
          </w:tcPr>
          <w:p w:rsidR="00AF5D47" w:rsidRPr="00DE0C6E" w:rsidRDefault="0008120E" w:rsidP="00AF5D47">
            <w:pPr>
              <w:jc w:val="center"/>
              <w:rPr>
                <w:rFonts w:ascii="Calibri" w:hAnsi="Calibri" w:cs="Calibri"/>
                <w:color w:val="000000"/>
                <w:sz w:val="22"/>
                <w:szCs w:val="22"/>
              </w:rPr>
            </w:pPr>
            <w:r w:rsidRPr="0008120E">
              <w:rPr>
                <w:rFonts w:ascii="Calibri" w:hAnsi="Calibri" w:cs="Calibri"/>
                <w:color w:val="FFFFFF" w:themeColor="background1"/>
                <w:sz w:val="22"/>
                <w:szCs w:val="22"/>
              </w:rPr>
              <w:t>140</w:t>
            </w:r>
          </w:p>
        </w:tc>
        <w:tc>
          <w:tcPr>
            <w:tcW w:w="6379" w:type="dxa"/>
            <w:tcBorders>
              <w:top w:val="single" w:sz="8" w:space="0" w:color="auto"/>
              <w:left w:val="nil"/>
              <w:bottom w:val="single" w:sz="8" w:space="0" w:color="auto"/>
              <w:right w:val="single" w:sz="8" w:space="0" w:color="auto"/>
            </w:tcBorders>
            <w:shd w:val="clear" w:color="auto" w:fill="auto"/>
            <w:vAlign w:val="center"/>
          </w:tcPr>
          <w:p w:rsidR="0008120E" w:rsidRDefault="0008120E" w:rsidP="0008120E">
            <w:pPr>
              <w:rPr>
                <w:color w:val="000000"/>
                <w:sz w:val="20"/>
                <w:szCs w:val="20"/>
              </w:rPr>
            </w:pPr>
            <w:r>
              <w:rPr>
                <w:color w:val="000000"/>
                <w:sz w:val="20"/>
                <w:szCs w:val="20"/>
              </w:rPr>
              <w:t>The last quarter has seen huge demand on homelessness services and temporary accommodation. We continue to focus our efforts on preventing households from becoming homeless to keep TA numbers low, however, as like the last few quarters we are still seeing households approaching us when they are already homeless. Of the 187 initi</w:t>
            </w:r>
            <w:r>
              <w:rPr>
                <w:color w:val="000000"/>
                <w:sz w:val="20"/>
                <w:szCs w:val="20"/>
              </w:rPr>
              <w:t>al assessments completed in Q1,</w:t>
            </w:r>
            <w:r>
              <w:rPr>
                <w:color w:val="000000"/>
                <w:sz w:val="20"/>
                <w:szCs w:val="20"/>
              </w:rPr>
              <w:t xml:space="preserve"> 93 (50.5%) of these approaches were from households that were already homeless. This limits our ability to avoid temporary accommodation which is reflected in a sharp increase in placements. A total of 98 households were placed into TA in Q1, this is compared to 65 in Q4 and 63 in Q3 of last year.  As highlighted in the previous commentary the increase in demand on TA is being seen across the South East, which is a significant risk to us and due to demand outweighing the supply of TA we are having to place more households into B&amp;B accommodation.</w:t>
            </w:r>
          </w:p>
          <w:p w:rsidR="0008120E" w:rsidRDefault="0008120E" w:rsidP="0008120E">
            <w:pPr>
              <w:rPr>
                <w:color w:val="000000"/>
                <w:sz w:val="20"/>
                <w:szCs w:val="20"/>
              </w:rPr>
            </w:pPr>
          </w:p>
          <w:p w:rsidR="0008120E" w:rsidRDefault="0008120E" w:rsidP="0008120E">
            <w:pPr>
              <w:rPr>
                <w:color w:val="000000"/>
                <w:sz w:val="20"/>
                <w:szCs w:val="20"/>
              </w:rPr>
            </w:pPr>
            <w:r>
              <w:rPr>
                <w:color w:val="000000"/>
                <w:sz w:val="20"/>
                <w:szCs w:val="20"/>
              </w:rPr>
              <w:t>We are due to receive a further £420,000 through our Homelessness Prevention Grant in response to the increase pressures local authorities are experiencing, we will utilise this funding this year to fund further front-line officers to support work in prevention and temporary accommodation. We are also considering options with regard to temporary accommodation models.</w:t>
            </w:r>
          </w:p>
          <w:p w:rsidR="00AF5D47" w:rsidRPr="001E0C31" w:rsidRDefault="00AF5D47" w:rsidP="00AF5D47">
            <w:pPr>
              <w:rPr>
                <w:rFonts w:ascii="Calibri" w:hAnsi="Calibri" w:cs="Calibri"/>
                <w:color w:val="000000"/>
                <w:sz w:val="22"/>
                <w:szCs w:val="22"/>
                <w:highlight w:val="yellow"/>
              </w:rPr>
            </w:pPr>
          </w:p>
        </w:tc>
      </w:tr>
      <w:tr w:rsidR="00AF5D47" w:rsidRPr="009D6B97" w:rsidTr="00DE0C6E">
        <w:trPr>
          <w:trHeight w:val="20"/>
        </w:trPr>
        <w:tc>
          <w:tcPr>
            <w:tcW w:w="1276" w:type="dxa"/>
            <w:vMerge w:val="restart"/>
            <w:tcBorders>
              <w:top w:val="nil"/>
              <w:left w:val="single" w:sz="8" w:space="0" w:color="auto"/>
              <w:bottom w:val="single" w:sz="4" w:space="0" w:color="auto"/>
              <w:right w:val="nil"/>
            </w:tcBorders>
            <w:shd w:val="clear" w:color="auto" w:fill="auto"/>
            <w:noWrap/>
            <w:vAlign w:val="center"/>
            <w:hideMark/>
          </w:tcPr>
          <w:p w:rsidR="00AF5D47" w:rsidRPr="00DE0C6E" w:rsidRDefault="00AF5D47" w:rsidP="00AF5D47">
            <w:pPr>
              <w:rPr>
                <w:rFonts w:ascii="Calibri" w:eastAsia="Times New Roman" w:hAnsi="Calibri" w:cs="Calibri"/>
                <w:sz w:val="22"/>
                <w:szCs w:val="22"/>
                <w:lang w:eastAsia="en-GB"/>
              </w:rPr>
            </w:pPr>
            <w:r w:rsidRPr="00DE0C6E">
              <w:rPr>
                <w:rFonts w:ascii="Calibri" w:eastAsia="Times New Roman" w:hAnsi="Calibri" w:cs="Calibri"/>
                <w:sz w:val="22"/>
                <w:szCs w:val="22"/>
                <w:lang w:eastAsia="en-GB"/>
              </w:rPr>
              <w:t>BIC018</w:t>
            </w:r>
          </w:p>
        </w:tc>
        <w:tc>
          <w:tcPr>
            <w:tcW w:w="3119" w:type="dxa"/>
            <w:vMerge w:val="restart"/>
            <w:tcBorders>
              <w:top w:val="nil"/>
              <w:left w:val="single" w:sz="8" w:space="0" w:color="auto"/>
              <w:bottom w:val="single" w:sz="4" w:space="0" w:color="auto"/>
              <w:right w:val="single" w:sz="8" w:space="0" w:color="auto"/>
            </w:tcBorders>
            <w:shd w:val="clear" w:color="auto" w:fill="auto"/>
            <w:vAlign w:val="center"/>
            <w:hideMark/>
          </w:tcPr>
          <w:p w:rsidR="00AF5D47" w:rsidRPr="00DE0C6E" w:rsidRDefault="00AF5D47" w:rsidP="00AF5D47">
            <w:pPr>
              <w:rPr>
                <w:rFonts w:ascii="Calibri" w:eastAsia="Times New Roman" w:hAnsi="Calibri" w:cs="Calibri"/>
                <w:sz w:val="22"/>
                <w:szCs w:val="22"/>
                <w:lang w:eastAsia="en-GB"/>
              </w:rPr>
            </w:pPr>
            <w:r w:rsidRPr="00DE0C6E">
              <w:rPr>
                <w:rFonts w:ascii="Calibri" w:eastAsia="Times New Roman" w:hAnsi="Calibri" w:cs="Calibri"/>
                <w:sz w:val="22"/>
                <w:szCs w:val="22"/>
                <w:lang w:eastAsia="en-GB"/>
              </w:rPr>
              <w:t>% of BAME staff</w:t>
            </w:r>
          </w:p>
        </w:tc>
        <w:tc>
          <w:tcPr>
            <w:tcW w:w="1276" w:type="dxa"/>
            <w:vMerge w:val="restart"/>
            <w:tcBorders>
              <w:top w:val="nil"/>
              <w:left w:val="nil"/>
              <w:bottom w:val="single" w:sz="4" w:space="0" w:color="auto"/>
              <w:right w:val="nil"/>
            </w:tcBorders>
            <w:shd w:val="clear" w:color="auto" w:fill="auto"/>
            <w:vAlign w:val="center"/>
            <w:hideMark/>
          </w:tcPr>
          <w:p w:rsidR="00AF5D47" w:rsidRPr="00DE0C6E" w:rsidRDefault="00AF5D47" w:rsidP="00AF5D47">
            <w:pPr>
              <w:rPr>
                <w:rFonts w:ascii="Calibri" w:eastAsia="Times New Roman" w:hAnsi="Calibri" w:cs="Calibri"/>
                <w:sz w:val="22"/>
                <w:szCs w:val="22"/>
                <w:lang w:eastAsia="en-GB"/>
              </w:rPr>
            </w:pPr>
            <w:r w:rsidRPr="00DE0C6E">
              <w:rPr>
                <w:rFonts w:ascii="Calibri" w:eastAsia="Times New Roman" w:hAnsi="Calibri" w:cs="Calibri"/>
                <w:sz w:val="22"/>
                <w:szCs w:val="22"/>
                <w:lang w:eastAsia="en-GB"/>
              </w:rPr>
              <w:t>Helen Bishop</w:t>
            </w:r>
          </w:p>
        </w:tc>
        <w:tc>
          <w:tcPr>
            <w:tcW w:w="1218" w:type="dxa"/>
            <w:vMerge w:val="restart"/>
            <w:tcBorders>
              <w:top w:val="nil"/>
              <w:left w:val="single" w:sz="8" w:space="0" w:color="auto"/>
              <w:bottom w:val="single" w:sz="4" w:space="0" w:color="auto"/>
              <w:right w:val="single" w:sz="8" w:space="0" w:color="auto"/>
            </w:tcBorders>
            <w:shd w:val="clear" w:color="auto" w:fill="auto"/>
            <w:vAlign w:val="center"/>
            <w:hideMark/>
          </w:tcPr>
          <w:p w:rsidR="00AF5D47" w:rsidRPr="00DE0C6E" w:rsidRDefault="00AF5D47" w:rsidP="00AF5D47">
            <w:pPr>
              <w:jc w:val="center"/>
              <w:rPr>
                <w:rFonts w:ascii="Calibri" w:eastAsia="Times New Roman" w:hAnsi="Calibri" w:cs="Calibri"/>
                <w:sz w:val="22"/>
                <w:szCs w:val="22"/>
                <w:lang w:eastAsia="en-GB"/>
              </w:rPr>
            </w:pPr>
            <w:r w:rsidRPr="00DE0C6E">
              <w:rPr>
                <w:rFonts w:ascii="Calibri" w:eastAsia="Times New Roman" w:hAnsi="Calibri" w:cs="Calibri"/>
                <w:sz w:val="22"/>
                <w:szCs w:val="22"/>
                <w:lang w:eastAsia="en-GB"/>
              </w:rPr>
              <w:t>15</w:t>
            </w:r>
          </w:p>
        </w:tc>
        <w:tc>
          <w:tcPr>
            <w:tcW w:w="1218" w:type="dxa"/>
            <w:vMerge w:val="restart"/>
            <w:tcBorders>
              <w:top w:val="nil"/>
              <w:left w:val="nil"/>
              <w:bottom w:val="single" w:sz="4" w:space="0" w:color="auto"/>
              <w:right w:val="nil"/>
            </w:tcBorders>
            <w:shd w:val="clear" w:color="auto" w:fill="auto"/>
            <w:noWrap/>
            <w:vAlign w:val="center"/>
            <w:hideMark/>
          </w:tcPr>
          <w:p w:rsidR="00AF5D47" w:rsidRPr="00DE0C6E" w:rsidRDefault="00AF5D47" w:rsidP="00AF5D47">
            <w:pPr>
              <w:jc w:val="center"/>
              <w:rPr>
                <w:rFonts w:ascii="Calibri" w:eastAsia="Times New Roman" w:hAnsi="Calibri" w:cs="Calibri"/>
                <w:sz w:val="22"/>
                <w:szCs w:val="22"/>
                <w:lang w:eastAsia="en-GB"/>
              </w:rPr>
            </w:pPr>
            <w:r w:rsidRPr="00DE0C6E">
              <w:rPr>
                <w:rFonts w:ascii="Calibri" w:eastAsia="Times New Roman" w:hAnsi="Calibri" w:cs="Calibri"/>
                <w:sz w:val="22"/>
                <w:szCs w:val="22"/>
                <w:lang w:eastAsia="en-GB"/>
              </w:rPr>
              <w:t>14.6</w:t>
            </w:r>
          </w:p>
        </w:tc>
        <w:tc>
          <w:tcPr>
            <w:tcW w:w="1350" w:type="dxa"/>
            <w:vMerge w:val="restart"/>
            <w:tcBorders>
              <w:top w:val="nil"/>
              <w:left w:val="single" w:sz="8" w:space="0" w:color="auto"/>
              <w:bottom w:val="single" w:sz="4" w:space="0" w:color="auto"/>
              <w:right w:val="single" w:sz="8" w:space="0" w:color="auto"/>
            </w:tcBorders>
            <w:shd w:val="clear" w:color="auto" w:fill="00B050"/>
            <w:vAlign w:val="center"/>
            <w:hideMark/>
          </w:tcPr>
          <w:p w:rsidR="00AF5D47" w:rsidRPr="00DE0C6E" w:rsidRDefault="00AF5D47" w:rsidP="00AF5D47">
            <w:pPr>
              <w:jc w:val="center"/>
              <w:rPr>
                <w:rFonts w:ascii="Calibri" w:eastAsia="Times New Roman" w:hAnsi="Calibri" w:cs="Calibri"/>
                <w:sz w:val="22"/>
                <w:szCs w:val="22"/>
                <w:lang w:eastAsia="en-GB"/>
              </w:rPr>
            </w:pPr>
            <w:r>
              <w:rPr>
                <w:rFonts w:ascii="Calibri" w:eastAsia="Times New Roman" w:hAnsi="Calibri" w:cs="Calibri"/>
                <w:sz w:val="22"/>
                <w:szCs w:val="22"/>
                <w:lang w:eastAsia="en-GB"/>
              </w:rPr>
              <w:t>14.60</w:t>
            </w:r>
          </w:p>
        </w:tc>
        <w:tc>
          <w:tcPr>
            <w:tcW w:w="6379" w:type="dxa"/>
            <w:tcBorders>
              <w:top w:val="nil"/>
              <w:left w:val="nil"/>
              <w:right w:val="single" w:sz="8" w:space="0" w:color="auto"/>
            </w:tcBorders>
            <w:shd w:val="clear" w:color="auto" w:fill="auto"/>
            <w:vAlign w:val="center"/>
            <w:hideMark/>
          </w:tcPr>
          <w:p w:rsidR="00AF5D47" w:rsidRPr="009D6B97" w:rsidRDefault="00AF5D47" w:rsidP="00AF5D47">
            <w:pPr>
              <w:rPr>
                <w:rFonts w:ascii="Calibri" w:eastAsia="Times New Roman" w:hAnsi="Calibri" w:cs="Calibri"/>
                <w:sz w:val="22"/>
                <w:szCs w:val="22"/>
                <w:lang w:eastAsia="en-GB"/>
              </w:rPr>
            </w:pPr>
          </w:p>
        </w:tc>
      </w:tr>
      <w:tr w:rsidR="00AF5D47" w:rsidRPr="009D6B97" w:rsidTr="00DE0C6E">
        <w:trPr>
          <w:trHeight w:val="744"/>
        </w:trPr>
        <w:tc>
          <w:tcPr>
            <w:tcW w:w="1276" w:type="dxa"/>
            <w:vMerge/>
            <w:tcBorders>
              <w:top w:val="nil"/>
              <w:left w:val="single" w:sz="8" w:space="0" w:color="auto"/>
              <w:bottom w:val="single" w:sz="4" w:space="0" w:color="auto"/>
              <w:right w:val="nil"/>
            </w:tcBorders>
            <w:vAlign w:val="center"/>
            <w:hideMark/>
          </w:tcPr>
          <w:p w:rsidR="00AF5D47" w:rsidRPr="009D6B97" w:rsidRDefault="00AF5D47" w:rsidP="00AF5D47">
            <w:pPr>
              <w:rPr>
                <w:rFonts w:ascii="Calibri" w:eastAsia="Times New Roman" w:hAnsi="Calibri" w:cs="Calibri"/>
                <w:sz w:val="22"/>
                <w:szCs w:val="22"/>
                <w:lang w:eastAsia="en-GB"/>
              </w:rPr>
            </w:pPr>
          </w:p>
        </w:tc>
        <w:tc>
          <w:tcPr>
            <w:tcW w:w="3119" w:type="dxa"/>
            <w:vMerge/>
            <w:tcBorders>
              <w:top w:val="nil"/>
              <w:left w:val="single" w:sz="8" w:space="0" w:color="auto"/>
              <w:bottom w:val="single" w:sz="4" w:space="0" w:color="auto"/>
              <w:right w:val="single" w:sz="8" w:space="0" w:color="auto"/>
            </w:tcBorders>
            <w:vAlign w:val="center"/>
            <w:hideMark/>
          </w:tcPr>
          <w:p w:rsidR="00AF5D47" w:rsidRPr="009D6B97" w:rsidRDefault="00AF5D47" w:rsidP="00AF5D47">
            <w:pPr>
              <w:rPr>
                <w:rFonts w:ascii="Calibri" w:eastAsia="Times New Roman" w:hAnsi="Calibri" w:cs="Calibri"/>
                <w:sz w:val="22"/>
                <w:szCs w:val="22"/>
                <w:lang w:eastAsia="en-GB"/>
              </w:rPr>
            </w:pPr>
          </w:p>
        </w:tc>
        <w:tc>
          <w:tcPr>
            <w:tcW w:w="1276" w:type="dxa"/>
            <w:vMerge/>
            <w:tcBorders>
              <w:top w:val="nil"/>
              <w:left w:val="nil"/>
              <w:bottom w:val="single" w:sz="4" w:space="0" w:color="auto"/>
              <w:right w:val="nil"/>
            </w:tcBorders>
            <w:vAlign w:val="center"/>
            <w:hideMark/>
          </w:tcPr>
          <w:p w:rsidR="00AF5D47" w:rsidRPr="009D6B97" w:rsidRDefault="00AF5D47" w:rsidP="00AF5D47">
            <w:pPr>
              <w:rPr>
                <w:rFonts w:ascii="Calibri" w:eastAsia="Times New Roman" w:hAnsi="Calibri" w:cs="Calibri"/>
                <w:sz w:val="22"/>
                <w:szCs w:val="22"/>
                <w:lang w:eastAsia="en-GB"/>
              </w:rPr>
            </w:pPr>
          </w:p>
        </w:tc>
        <w:tc>
          <w:tcPr>
            <w:tcW w:w="1218" w:type="dxa"/>
            <w:vMerge/>
            <w:tcBorders>
              <w:top w:val="nil"/>
              <w:left w:val="single" w:sz="8" w:space="0" w:color="auto"/>
              <w:bottom w:val="single" w:sz="4" w:space="0" w:color="auto"/>
              <w:right w:val="single" w:sz="8" w:space="0" w:color="auto"/>
            </w:tcBorders>
            <w:shd w:val="clear" w:color="auto" w:fill="auto"/>
            <w:vAlign w:val="center"/>
            <w:hideMark/>
          </w:tcPr>
          <w:p w:rsidR="00AF5D47" w:rsidRPr="009D6B97" w:rsidRDefault="00AF5D47" w:rsidP="00AF5D47">
            <w:pPr>
              <w:rPr>
                <w:rFonts w:ascii="Calibri" w:eastAsia="Times New Roman" w:hAnsi="Calibri" w:cs="Calibri"/>
                <w:sz w:val="22"/>
                <w:szCs w:val="22"/>
                <w:lang w:eastAsia="en-GB"/>
              </w:rPr>
            </w:pPr>
          </w:p>
        </w:tc>
        <w:tc>
          <w:tcPr>
            <w:tcW w:w="1218" w:type="dxa"/>
            <w:vMerge/>
            <w:tcBorders>
              <w:top w:val="nil"/>
              <w:left w:val="nil"/>
              <w:bottom w:val="single" w:sz="4" w:space="0" w:color="auto"/>
              <w:right w:val="nil"/>
            </w:tcBorders>
            <w:shd w:val="clear" w:color="auto" w:fill="auto"/>
            <w:vAlign w:val="center"/>
            <w:hideMark/>
          </w:tcPr>
          <w:p w:rsidR="00AF5D47" w:rsidRPr="009D6B97" w:rsidRDefault="00AF5D47" w:rsidP="00AF5D47">
            <w:pPr>
              <w:rPr>
                <w:rFonts w:ascii="Calibri" w:eastAsia="Times New Roman" w:hAnsi="Calibri" w:cs="Calibri"/>
                <w:sz w:val="22"/>
                <w:szCs w:val="22"/>
                <w:lang w:eastAsia="en-GB"/>
              </w:rPr>
            </w:pPr>
          </w:p>
        </w:tc>
        <w:tc>
          <w:tcPr>
            <w:tcW w:w="1350" w:type="dxa"/>
            <w:vMerge/>
            <w:tcBorders>
              <w:top w:val="nil"/>
              <w:left w:val="single" w:sz="8" w:space="0" w:color="auto"/>
              <w:bottom w:val="single" w:sz="4" w:space="0" w:color="auto"/>
              <w:right w:val="single" w:sz="8" w:space="0" w:color="auto"/>
            </w:tcBorders>
            <w:shd w:val="clear" w:color="auto" w:fill="00B050"/>
            <w:vAlign w:val="center"/>
            <w:hideMark/>
          </w:tcPr>
          <w:p w:rsidR="00AF5D47" w:rsidRPr="009D6B97" w:rsidRDefault="00AF5D47" w:rsidP="00AF5D47">
            <w:pPr>
              <w:rPr>
                <w:rFonts w:ascii="Calibri" w:eastAsia="Times New Roman" w:hAnsi="Calibri" w:cs="Calibri"/>
                <w:sz w:val="22"/>
                <w:szCs w:val="22"/>
                <w:lang w:eastAsia="en-GB"/>
              </w:rPr>
            </w:pPr>
          </w:p>
        </w:tc>
        <w:tc>
          <w:tcPr>
            <w:tcW w:w="6379" w:type="dxa"/>
            <w:tcBorders>
              <w:top w:val="nil"/>
              <w:left w:val="nil"/>
              <w:bottom w:val="single" w:sz="4" w:space="0" w:color="auto"/>
              <w:right w:val="single" w:sz="8" w:space="0" w:color="auto"/>
            </w:tcBorders>
            <w:shd w:val="clear" w:color="auto" w:fill="auto"/>
            <w:vAlign w:val="center"/>
            <w:hideMark/>
          </w:tcPr>
          <w:p w:rsidR="00AF5D47" w:rsidRPr="009D6B97" w:rsidRDefault="00AF5D47" w:rsidP="00AF5D47">
            <w:pPr>
              <w:rPr>
                <w:rFonts w:ascii="Calibri" w:eastAsia="Times New Roman" w:hAnsi="Calibri" w:cs="Calibri"/>
                <w:sz w:val="22"/>
                <w:szCs w:val="22"/>
                <w:lang w:eastAsia="en-GB"/>
              </w:rPr>
            </w:pPr>
          </w:p>
        </w:tc>
      </w:tr>
    </w:tbl>
    <w:p w:rsidR="009D6B97" w:rsidRPr="008A22C6" w:rsidRDefault="009D6B97" w:rsidP="00984574">
      <w:pPr>
        <w:ind w:right="-501"/>
      </w:pPr>
    </w:p>
    <w:sectPr w:rsidR="009D6B97" w:rsidRPr="008A22C6" w:rsidSect="009D6B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D7" w:rsidRDefault="007D5CD7" w:rsidP="007D5CD7">
      <w:r>
        <w:separator/>
      </w:r>
    </w:p>
  </w:endnote>
  <w:endnote w:type="continuationSeparator" w:id="0">
    <w:p w:rsidR="007D5CD7" w:rsidRDefault="007D5CD7" w:rsidP="007D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D7" w:rsidRDefault="007D5CD7" w:rsidP="007D5CD7">
      <w:r>
        <w:separator/>
      </w:r>
    </w:p>
  </w:footnote>
  <w:footnote w:type="continuationSeparator" w:id="0">
    <w:p w:rsidR="007D5CD7" w:rsidRDefault="007D5CD7" w:rsidP="007D5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97"/>
    <w:rsid w:val="00064722"/>
    <w:rsid w:val="0008120E"/>
    <w:rsid w:val="00085006"/>
    <w:rsid w:val="000A58FA"/>
    <w:rsid w:val="000B4310"/>
    <w:rsid w:val="001106F6"/>
    <w:rsid w:val="00176585"/>
    <w:rsid w:val="001E0C31"/>
    <w:rsid w:val="00203A7E"/>
    <w:rsid w:val="002570E6"/>
    <w:rsid w:val="002A09F8"/>
    <w:rsid w:val="002F5DF3"/>
    <w:rsid w:val="00312AB7"/>
    <w:rsid w:val="003B12E7"/>
    <w:rsid w:val="003E3F9B"/>
    <w:rsid w:val="004000D7"/>
    <w:rsid w:val="00441583"/>
    <w:rsid w:val="004746DC"/>
    <w:rsid w:val="0048307F"/>
    <w:rsid w:val="00485ED0"/>
    <w:rsid w:val="004C4C9B"/>
    <w:rsid w:val="004D3903"/>
    <w:rsid w:val="004E07FE"/>
    <w:rsid w:val="004E1E46"/>
    <w:rsid w:val="00504E43"/>
    <w:rsid w:val="005D78F9"/>
    <w:rsid w:val="005F17FD"/>
    <w:rsid w:val="005F5751"/>
    <w:rsid w:val="0061162A"/>
    <w:rsid w:val="006557D0"/>
    <w:rsid w:val="006D574C"/>
    <w:rsid w:val="006E201D"/>
    <w:rsid w:val="007908F4"/>
    <w:rsid w:val="007B3E61"/>
    <w:rsid w:val="007D15FE"/>
    <w:rsid w:val="007D5CD7"/>
    <w:rsid w:val="00846DE5"/>
    <w:rsid w:val="008A22C6"/>
    <w:rsid w:val="008F56D7"/>
    <w:rsid w:val="00900E14"/>
    <w:rsid w:val="00924606"/>
    <w:rsid w:val="009547E1"/>
    <w:rsid w:val="00981E01"/>
    <w:rsid w:val="00984574"/>
    <w:rsid w:val="009B7B6E"/>
    <w:rsid w:val="009D34F4"/>
    <w:rsid w:val="009D6B97"/>
    <w:rsid w:val="009F2CF6"/>
    <w:rsid w:val="00A10B11"/>
    <w:rsid w:val="00A20D87"/>
    <w:rsid w:val="00A72F2C"/>
    <w:rsid w:val="00AE119A"/>
    <w:rsid w:val="00AF594C"/>
    <w:rsid w:val="00AF5D47"/>
    <w:rsid w:val="00B10C79"/>
    <w:rsid w:val="00B34F03"/>
    <w:rsid w:val="00B62CF8"/>
    <w:rsid w:val="00BC306E"/>
    <w:rsid w:val="00C07F80"/>
    <w:rsid w:val="00CA26D2"/>
    <w:rsid w:val="00CD3554"/>
    <w:rsid w:val="00CE6277"/>
    <w:rsid w:val="00D255C9"/>
    <w:rsid w:val="00DD0D0B"/>
    <w:rsid w:val="00DE0C6E"/>
    <w:rsid w:val="00E47E8C"/>
    <w:rsid w:val="00E508F8"/>
    <w:rsid w:val="00EC5E19"/>
    <w:rsid w:val="00F15EDA"/>
    <w:rsid w:val="00F54F2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CD278-36CE-465D-B566-2E2CBA68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D7"/>
    <w:pPr>
      <w:tabs>
        <w:tab w:val="center" w:pos="4513"/>
        <w:tab w:val="right" w:pos="9026"/>
      </w:tabs>
    </w:pPr>
  </w:style>
  <w:style w:type="character" w:customStyle="1" w:styleId="HeaderChar">
    <w:name w:val="Header Char"/>
    <w:basedOn w:val="DefaultParagraphFont"/>
    <w:link w:val="Header"/>
    <w:uiPriority w:val="99"/>
    <w:rsid w:val="007D5CD7"/>
  </w:style>
  <w:style w:type="paragraph" w:styleId="Footer">
    <w:name w:val="footer"/>
    <w:basedOn w:val="Normal"/>
    <w:link w:val="FooterChar"/>
    <w:uiPriority w:val="99"/>
    <w:unhideWhenUsed/>
    <w:rsid w:val="007D5CD7"/>
    <w:pPr>
      <w:tabs>
        <w:tab w:val="center" w:pos="4513"/>
        <w:tab w:val="right" w:pos="9026"/>
      </w:tabs>
    </w:pPr>
  </w:style>
  <w:style w:type="character" w:customStyle="1" w:styleId="FooterChar">
    <w:name w:val="Footer Char"/>
    <w:basedOn w:val="DefaultParagraphFont"/>
    <w:link w:val="Footer"/>
    <w:uiPriority w:val="99"/>
    <w:rsid w:val="007D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4649">
      <w:bodyDiv w:val="1"/>
      <w:marLeft w:val="0"/>
      <w:marRight w:val="0"/>
      <w:marTop w:val="0"/>
      <w:marBottom w:val="0"/>
      <w:divBdr>
        <w:top w:val="none" w:sz="0" w:space="0" w:color="auto"/>
        <w:left w:val="none" w:sz="0" w:space="0" w:color="auto"/>
        <w:bottom w:val="none" w:sz="0" w:space="0" w:color="auto"/>
        <w:right w:val="none" w:sz="0" w:space="0" w:color="auto"/>
      </w:divBdr>
    </w:div>
    <w:div w:id="83959886">
      <w:bodyDiv w:val="1"/>
      <w:marLeft w:val="0"/>
      <w:marRight w:val="0"/>
      <w:marTop w:val="0"/>
      <w:marBottom w:val="0"/>
      <w:divBdr>
        <w:top w:val="none" w:sz="0" w:space="0" w:color="auto"/>
        <w:left w:val="none" w:sz="0" w:space="0" w:color="auto"/>
        <w:bottom w:val="none" w:sz="0" w:space="0" w:color="auto"/>
        <w:right w:val="none" w:sz="0" w:space="0" w:color="auto"/>
      </w:divBdr>
    </w:div>
    <w:div w:id="556087792">
      <w:bodyDiv w:val="1"/>
      <w:marLeft w:val="0"/>
      <w:marRight w:val="0"/>
      <w:marTop w:val="0"/>
      <w:marBottom w:val="0"/>
      <w:divBdr>
        <w:top w:val="none" w:sz="0" w:space="0" w:color="auto"/>
        <w:left w:val="none" w:sz="0" w:space="0" w:color="auto"/>
        <w:bottom w:val="none" w:sz="0" w:space="0" w:color="auto"/>
        <w:right w:val="none" w:sz="0" w:space="0" w:color="auto"/>
      </w:divBdr>
    </w:div>
    <w:div w:id="758454445">
      <w:bodyDiv w:val="1"/>
      <w:marLeft w:val="0"/>
      <w:marRight w:val="0"/>
      <w:marTop w:val="0"/>
      <w:marBottom w:val="0"/>
      <w:divBdr>
        <w:top w:val="none" w:sz="0" w:space="0" w:color="auto"/>
        <w:left w:val="none" w:sz="0" w:space="0" w:color="auto"/>
        <w:bottom w:val="none" w:sz="0" w:space="0" w:color="auto"/>
        <w:right w:val="none" w:sz="0" w:space="0" w:color="auto"/>
      </w:divBdr>
      <w:divsChild>
        <w:div w:id="91436173">
          <w:marLeft w:val="0"/>
          <w:marRight w:val="0"/>
          <w:marTop w:val="0"/>
          <w:marBottom w:val="0"/>
          <w:divBdr>
            <w:top w:val="none" w:sz="0" w:space="0" w:color="auto"/>
            <w:left w:val="none" w:sz="0" w:space="0" w:color="auto"/>
            <w:bottom w:val="none" w:sz="0" w:space="0" w:color="auto"/>
            <w:right w:val="none" w:sz="0" w:space="0" w:color="auto"/>
          </w:divBdr>
        </w:div>
      </w:divsChild>
    </w:div>
    <w:div w:id="890653912">
      <w:bodyDiv w:val="1"/>
      <w:marLeft w:val="0"/>
      <w:marRight w:val="0"/>
      <w:marTop w:val="0"/>
      <w:marBottom w:val="0"/>
      <w:divBdr>
        <w:top w:val="none" w:sz="0" w:space="0" w:color="auto"/>
        <w:left w:val="none" w:sz="0" w:space="0" w:color="auto"/>
        <w:bottom w:val="none" w:sz="0" w:space="0" w:color="auto"/>
        <w:right w:val="none" w:sz="0" w:space="0" w:color="auto"/>
      </w:divBdr>
    </w:div>
    <w:div w:id="1258444558">
      <w:bodyDiv w:val="1"/>
      <w:marLeft w:val="0"/>
      <w:marRight w:val="0"/>
      <w:marTop w:val="0"/>
      <w:marBottom w:val="0"/>
      <w:divBdr>
        <w:top w:val="none" w:sz="0" w:space="0" w:color="auto"/>
        <w:left w:val="none" w:sz="0" w:space="0" w:color="auto"/>
        <w:bottom w:val="none" w:sz="0" w:space="0" w:color="auto"/>
        <w:right w:val="none" w:sz="0" w:space="0" w:color="auto"/>
      </w:divBdr>
    </w:div>
    <w:div w:id="1283029060">
      <w:bodyDiv w:val="1"/>
      <w:marLeft w:val="0"/>
      <w:marRight w:val="0"/>
      <w:marTop w:val="0"/>
      <w:marBottom w:val="0"/>
      <w:divBdr>
        <w:top w:val="none" w:sz="0" w:space="0" w:color="auto"/>
        <w:left w:val="none" w:sz="0" w:space="0" w:color="auto"/>
        <w:bottom w:val="none" w:sz="0" w:space="0" w:color="auto"/>
        <w:right w:val="none" w:sz="0" w:space="0" w:color="auto"/>
      </w:divBdr>
    </w:div>
    <w:div w:id="1727944759">
      <w:bodyDiv w:val="1"/>
      <w:marLeft w:val="0"/>
      <w:marRight w:val="0"/>
      <w:marTop w:val="0"/>
      <w:marBottom w:val="0"/>
      <w:divBdr>
        <w:top w:val="none" w:sz="0" w:space="0" w:color="auto"/>
        <w:left w:val="none" w:sz="0" w:space="0" w:color="auto"/>
        <w:bottom w:val="none" w:sz="0" w:space="0" w:color="auto"/>
        <w:right w:val="none" w:sz="0" w:space="0" w:color="auto"/>
      </w:divBdr>
    </w:div>
    <w:div w:id="1831217417">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B5E1D-694E-4A6A-9D30-6F74A5A9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Heap</dc:creator>
  <cp:keywords/>
  <dc:description/>
  <cp:lastModifiedBy>HEAP Rachel</cp:lastModifiedBy>
  <cp:revision>3</cp:revision>
  <dcterms:created xsi:type="dcterms:W3CDTF">2023-08-25T13:20:00Z</dcterms:created>
  <dcterms:modified xsi:type="dcterms:W3CDTF">2023-08-25T13:20:00Z</dcterms:modified>
</cp:coreProperties>
</file>